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7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2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1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2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16, 2024</w:t>
      </w:r>
    </w:p>
    <w:p>
      <w:pPr>
        <w:spacing w:after="0" w:line="196" w:lineRule="exact"/>
        <w:rPr>
          <w:sz w:val="24"/>
          <w:szCs w:val="24"/>
          <w:color w:val="auto"/>
        </w:rPr>
      </w:pPr>
    </w:p>
    <w:p>
      <w:pPr>
        <w:jc w:val="center"/>
        <w:ind w:right="95"/>
        <w:spacing w:after="0"/>
        <w:rPr>
          <w:sz w:val="20"/>
          <w:szCs w:val="20"/>
          <w:color w:val="auto"/>
        </w:rPr>
      </w:pPr>
      <w:r>
        <w:rPr>
          <w:rFonts w:ascii="Times New Roman" w:cs="Times New Roman" w:eastAsia="Times New Roman" w:hAnsi="Times New Roman"/>
          <w:sz w:val="38"/>
          <w:szCs w:val="38"/>
          <w:b w:val="1"/>
          <w:bCs w:val="1"/>
          <w:color w:val="auto"/>
        </w:rPr>
        <w:t>THE SHYFT GROUP, INC.</w:t>
      </w:r>
    </w:p>
    <w:p>
      <w:pPr>
        <w:spacing w:after="0" w:line="5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65"/>
          </w:cols>
          <w:pgMar w:left="315" w:top="192" w:right="319" w:bottom="1440" w:gutter="0" w:footer="0" w:header="0"/>
        </w:sectPr>
      </w:pPr>
    </w:p>
    <w:p>
      <w:pPr>
        <w:spacing w:after="0" w:line="369" w:lineRule="exact"/>
        <w:rPr>
          <w:sz w:val="24"/>
          <w:szCs w:val="24"/>
          <w:color w:val="auto"/>
        </w:rPr>
      </w:pPr>
    </w:p>
    <w:p>
      <w:pPr>
        <w:ind w:left="1545"/>
        <w:spacing w:after="0"/>
        <w:rPr>
          <w:sz w:val="20"/>
          <w:szCs w:val="20"/>
          <w:color w:val="auto"/>
        </w:rPr>
      </w:pPr>
      <w:r>
        <w:rPr>
          <w:rFonts w:ascii="Times New Roman" w:cs="Times New Roman" w:eastAsia="Times New Roman" w:hAnsi="Times New Roman"/>
          <w:sz w:val="16"/>
          <w:szCs w:val="16"/>
          <w:b w:val="1"/>
          <w:bCs w:val="1"/>
          <w:color w:val="auto"/>
        </w:rPr>
        <w:t>Michigan</w:t>
      </w:r>
    </w:p>
    <w:p>
      <w:pPr>
        <w:spacing w:after="0" w:line="26"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5"/>
          <w:szCs w:val="15"/>
          <w:b w:val="1"/>
          <w:bCs w:val="1"/>
          <w:color w:val="auto"/>
        </w:rPr>
        <w:t>(State or Other Jurisdiction</w:t>
      </w:r>
    </w:p>
    <w:p>
      <w:pPr>
        <w:spacing w:after="0" w:line="19"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6"/>
          <w:szCs w:val="16"/>
          <w:b w:val="1"/>
          <w:bCs w:val="1"/>
          <w:color w:val="auto"/>
        </w:rPr>
        <w:t>001-33582</w:t>
      </w:r>
    </w:p>
    <w:p>
      <w:pPr>
        <w:spacing w:after="0" w:line="26"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5"/>
          <w:szCs w:val="15"/>
          <w:b w:val="1"/>
          <w:bCs w:val="1"/>
          <w:color w:val="auto"/>
        </w:rPr>
        <w:t>(Commission File No.)</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38-2078923</w:t>
      </w:r>
    </w:p>
    <w:p>
      <w:pPr>
        <w:spacing w:after="0" w:line="2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Identification No.)</w:t>
      </w:r>
    </w:p>
    <w:p>
      <w:pPr>
        <w:spacing w:after="0" w:line="211" w:lineRule="exact"/>
        <w:rPr>
          <w:sz w:val="24"/>
          <w:szCs w:val="24"/>
          <w:color w:val="auto"/>
        </w:rPr>
      </w:pPr>
    </w:p>
    <w:p>
      <w:pPr>
        <w:sectPr>
          <w:pgSz w:w="11900" w:h="16838" w:orient="portrait"/>
          <w:cols w:equalWidth="0" w:num="3">
            <w:col w:w="4165" w:space="720"/>
            <w:col w:w="3160" w:space="720"/>
            <w:col w:w="2500"/>
          </w:cols>
          <w:pgMar w:left="315" w:top="192" w:right="319" w:bottom="1440" w:gutter="0" w:footer="0" w:header="0"/>
          <w:type w:val="continuous"/>
        </w:sectPr>
      </w:pPr>
    </w:p>
    <w:p>
      <w:pPr>
        <w:spacing w:after="0" w:line="3" w:lineRule="exact"/>
        <w:rPr>
          <w:sz w:val="24"/>
          <w:szCs w:val="24"/>
          <w:color w:val="auto"/>
        </w:rPr>
      </w:pPr>
    </w:p>
    <w:p>
      <w:pPr>
        <w:jc w:val="center"/>
        <w:ind w:right="1715"/>
        <w:spacing w:after="0"/>
        <w:rPr>
          <w:sz w:val="20"/>
          <w:szCs w:val="20"/>
          <w:color w:val="auto"/>
        </w:rPr>
      </w:pPr>
      <w:r>
        <w:rPr>
          <w:rFonts w:ascii="Times New Roman" w:cs="Times New Roman" w:eastAsia="Times New Roman" w:hAnsi="Times New Roman"/>
          <w:sz w:val="16"/>
          <w:szCs w:val="16"/>
          <w:b w:val="1"/>
          <w:bCs w:val="1"/>
          <w:color w:val="auto"/>
        </w:rPr>
        <w:t>41280 Bridge Street, Novi, Michigan</w:t>
      </w:r>
    </w:p>
    <w:p>
      <w:pPr>
        <w:spacing w:after="0" w:line="26" w:lineRule="exact"/>
        <w:rPr>
          <w:sz w:val="24"/>
          <w:szCs w:val="24"/>
          <w:color w:val="auto"/>
        </w:rPr>
      </w:pPr>
    </w:p>
    <w:p>
      <w:pPr>
        <w:jc w:val="center"/>
        <w:ind w:right="1715"/>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Times New Roman" w:cs="Times New Roman" w:eastAsia="Times New Roman" w:hAnsi="Times New Roman"/>
          <w:sz w:val="16"/>
          <w:szCs w:val="16"/>
          <w:b w:val="1"/>
          <w:bCs w:val="1"/>
          <w:color w:val="auto"/>
        </w:rPr>
        <w:t>48375</w:t>
      </w:r>
    </w:p>
    <w:p>
      <w:pPr>
        <w:spacing w:after="0" w:line="26"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200" w:lineRule="exact"/>
        <w:rPr>
          <w:sz w:val="24"/>
          <w:szCs w:val="24"/>
          <w:color w:val="auto"/>
        </w:rPr>
      </w:pPr>
    </w:p>
    <w:p>
      <w:pPr>
        <w:sectPr>
          <w:pgSz w:w="11900" w:h="16838" w:orient="portrait"/>
          <w:cols w:equalWidth="0" w:num="2">
            <w:col w:w="7365" w:space="720"/>
            <w:col w:w="3180"/>
          </w:cols>
          <w:pgMar w:left="315" w:top="192" w:right="319" w:bottom="1440" w:gutter="0" w:footer="0" w:header="0"/>
          <w:type w:val="continuous"/>
        </w:sectPr>
      </w:pPr>
    </w:p>
    <w:p>
      <w:pPr>
        <w:spacing w:after="0" w:line="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(517) 543-6400</w:t>
      </w:r>
    </w:p>
    <w:p>
      <w:pPr>
        <w:spacing w:after="0" w:line="2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ectPr>
          <w:pgSz w:w="11900" w:h="16838" w:orient="portrait"/>
          <w:cols w:equalWidth="0" w:num="1">
            <w:col w:w="11265"/>
          </w:cols>
          <w:pgMar w:left="315" w:top="192" w:right="319" w:bottom="1440" w:gutter="0" w:footer="0" w:header="0"/>
          <w:type w:val="continuous"/>
        </w:sectPr>
      </w:pPr>
    </w:p>
    <w:p>
      <w:pPr>
        <w:spacing w:after="0" w:line="19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8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sz w:val="24"/>
          <w:szCs w:val="24"/>
          <w:color w:val="auto"/>
        </w:rPr>
      </w:pPr>
    </w:p>
    <w:p>
      <w:pPr>
        <w:ind w:left="285" w:hanging="285"/>
        <w:spacing w:after="0"/>
        <w:tabs>
          <w:tab w:leader="none" w:pos="28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5" w:hanging="285"/>
        <w:spacing w:after="0"/>
        <w:tabs>
          <w:tab w:leader="none" w:pos="28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285" w:hanging="285"/>
        <w:spacing w:after="0"/>
        <w:tabs>
          <w:tab w:leader="none" w:pos="28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98" w:lineRule="exact"/>
        <w:rPr>
          <w:sz w:val="24"/>
          <w:szCs w:val="24"/>
          <w:color w:val="auto"/>
        </w:rPr>
      </w:pPr>
    </w:p>
    <w:tbl>
      <w:tblPr>
        <w:tblLayout w:type="fixed"/>
        <w:tblInd w:w="5" w:type="dxa"/>
        <w:tblCellMar>
          <w:top w:w="0" w:type="dxa"/>
          <w:left w:w="0" w:type="dxa"/>
          <w:bottom w:w="0" w:type="dxa"/>
          <w:right w:w="0" w:type="dxa"/>
        </w:tblCellMar>
      </w:tblPr>
      <w:tr>
        <w:trPr>
          <w:trHeight w:val="191"/>
        </w:trPr>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6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6700" w:type="dxa"/>
            <w:vAlign w:val="bottom"/>
            <w:tcBorders>
              <w:bottom w:val="single" w:sz="8" w:color="auto"/>
            </w:tcBorders>
          </w:tcPr>
          <w:p>
            <w:pPr>
              <w:spacing w:after="0"/>
              <w:rPr>
                <w:sz w:val="18"/>
                <w:szCs w:val="18"/>
                <w:color w:val="auto"/>
              </w:rPr>
            </w:pPr>
          </w:p>
        </w:tc>
      </w:tr>
      <w:tr>
        <w:trPr>
          <w:trHeight w:val="200"/>
        </w:trPr>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SHYF</w:t>
            </w:r>
          </w:p>
        </w:tc>
        <w:tc>
          <w:tcPr>
            <w:tcW w:w="120" w:type="dxa"/>
            <w:vAlign w:val="bottom"/>
          </w:tcPr>
          <w:p>
            <w:pPr>
              <w:spacing w:after="0"/>
              <w:rPr>
                <w:sz w:val="17"/>
                <w:szCs w:val="17"/>
                <w:color w:val="auto"/>
              </w:rPr>
            </w:pPr>
          </w:p>
        </w:tc>
        <w:tc>
          <w:tcPr>
            <w:tcW w:w="6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8" w:lineRule="exact"/>
        <w:rPr>
          <w:sz w:val="24"/>
          <w:szCs w:val="24"/>
          <w:color w:val="auto"/>
        </w:rPr>
      </w:pPr>
    </w:p>
    <w:p>
      <w:pPr>
        <w:ind w:left="5" w:right="10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ind w:left="5" w:right="22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192" w:right="319" w:bottom="1440" w:gutter="0" w:footer="0" w:header="0"/>
          <w:type w:val="continuous"/>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On December 16, 2024, The Shyft Group, Inc., a Michigan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Shyft</w:t>
      </w:r>
      <w:r>
        <w:rPr>
          <w:rFonts w:ascii="Times New Roman" w:cs="Times New Roman" w:eastAsia="Times New Roman" w:hAnsi="Times New Roman"/>
          <w:sz w:val="16"/>
          <w:szCs w:val="16"/>
          <w:color w:val="auto"/>
        </w:rPr>
        <w:t>”), issued a press release announcing its entry into an Agreement and Plan of Merger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dated as of December 16, 2024, by and among the Company, Aebi Schmidt Holding AG, a Switzerland Aktiengesellschaft (“</w:t>
      </w:r>
      <w:r>
        <w:rPr>
          <w:rFonts w:ascii="Times New Roman" w:cs="Times New Roman" w:eastAsia="Times New Roman" w:hAnsi="Times New Roman"/>
          <w:sz w:val="16"/>
          <w:szCs w:val="16"/>
          <w:b w:val="1"/>
          <w:bCs w:val="1"/>
          <w:color w:val="auto"/>
        </w:rPr>
        <w:t>Aebi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Schmidt</w:t>
      </w:r>
      <w:r>
        <w:rPr>
          <w:rFonts w:ascii="Times New Roman" w:cs="Times New Roman" w:eastAsia="Times New Roman" w:hAnsi="Times New Roman"/>
          <w:sz w:val="16"/>
          <w:szCs w:val="16"/>
          <w:color w:val="auto"/>
        </w:rPr>
        <w:t>”), ASH US Group, LLC and Badger Merger Sub, Inc. (the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pursuant to which, subject to the satisfaction or waiver of the conditions set forth therein,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 the effective time, Merger Sub will merge with and into the Company, with the Company surviving as a wholly owned subsidiary of Aebi Schmidt, and each outstanding share of Company common stock will be converted into the right to receive 1.040166432 shares of Aebi Schmidt common stock. The press release is attached hereto as Exhibit 99.1.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as Exhibit 99.2 hereto is the investor presentation that the Company has prepared to use in connection with the transactions contemplated by the Merger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in Item 7.01 is being furnished and shall not be deemed “filed” for the purposes of Section 18 of the Securities Exchange Act of 1934, as amended (the</w:t>
      </w:r>
    </w:p>
    <w:p>
      <w:pPr>
        <w:spacing w:after="0" w:line="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made by the Company under the Securities Act or the Exchange Act, except as otherwise set forth herein or as shall be expressly set forth by specific reference in such a filing.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5"/>
          <w:szCs w:val="15"/>
          <w:color w:val="auto"/>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or pursuant to an exemption from, or in a transaction not subject to, such registration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be deemed participants in the solicitation of proxies in connection with the proposed transaction, including a description of their direct or indirect interests in the transaction, by security holdings or otherwise, will be set forth in the combined proxy statement/prospectus and other relevant materials when it is filed with the SEC. Information regarding the directors and executive officers of Shyft is contained in the sections entitled “</w:t>
      </w:r>
      <w:r>
        <w:rPr>
          <w:rFonts w:ascii="Times New Roman" w:cs="Times New Roman" w:eastAsia="Times New Roman" w:hAnsi="Times New Roman"/>
          <w:sz w:val="16"/>
          <w:szCs w:val="16"/>
          <w:i w:val="1"/>
          <w:iCs w:val="1"/>
          <w:color w:val="auto"/>
        </w:rPr>
        <w:t>Election of Directors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Ownership of Securities</w:t>
      </w:r>
      <w:r>
        <w:rPr>
          <w:rFonts w:ascii="Times New Roman" w:cs="Times New Roman" w:eastAsia="Times New Roman" w:hAnsi="Times New Roman"/>
          <w:sz w:val="16"/>
          <w:szCs w:val="16"/>
          <w:color w:val="auto"/>
        </w:rPr>
        <w:t>” included in Shyft’s proxy statement for the 2024 annual meeting of stockholders, which was filed with the SEC on April 3, 2024 (and which is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2" w:name="page3"/>
    <w:bookmarkEnd w:id="2"/>
    <w:p>
      <w:pPr>
        <w:jc w:val="both"/>
        <w:ind w:right="300"/>
        <w:spacing w:after="0" w:line="260" w:lineRule="auto"/>
        <w:rPr>
          <w:sz w:val="20"/>
          <w:szCs w:val="20"/>
          <w:color w:val="auto"/>
        </w:rPr>
      </w:pPr>
      <w:r>
        <w:rPr>
          <w:rFonts w:ascii="Times New Roman" w:cs="Times New Roman" w:eastAsia="Times New Roman" w:hAnsi="Times New Roman"/>
          <w:sz w:val="16"/>
          <w:szCs w:val="16"/>
          <w:u w:val="single" w:color="auto"/>
          <w:color w:val="auto"/>
        </w:rPr>
        <w:t>https://www.sec.gov/ix?doc=/Archives/edgar/data/743238/000114036124017592/ny20010675x1_def14a.htm</w:t>
      </w:r>
      <w:r>
        <w:rPr>
          <w:rFonts w:ascii="Times New Roman" w:cs="Times New Roman" w:eastAsia="Times New Roman" w:hAnsi="Times New Roman"/>
          <w:sz w:val="16"/>
          <w:szCs w:val="16"/>
          <w:color w:val="auto"/>
        </w:rPr>
        <w:t>) and in the section entitled “</w:t>
      </w:r>
      <w:r>
        <w:rPr>
          <w:rFonts w:ascii="Times New Roman" w:cs="Times New Roman" w:eastAsia="Times New Roman" w:hAnsi="Times New Roman"/>
          <w:sz w:val="16"/>
          <w:szCs w:val="16"/>
          <w:i w:val="1"/>
          <w:iCs w:val="1"/>
          <w:color w:val="auto"/>
        </w:rPr>
        <w:t>Directors, Executive Officers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Corporate Governance</w:t>
      </w:r>
      <w:r>
        <w:rPr>
          <w:rFonts w:ascii="Times New Roman" w:cs="Times New Roman" w:eastAsia="Times New Roman" w:hAnsi="Times New Roman"/>
          <w:sz w:val="16"/>
          <w:szCs w:val="16"/>
          <w:color w:val="auto"/>
        </w:rPr>
        <w:t>” included in Shyft’s Annual Report on Form 10-K for the year ended December 31, 2023, which was filed with the SEC on February 22, 2024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which is available at </w:t>
      </w:r>
      <w:r>
        <w:rPr>
          <w:rFonts w:ascii="Times New Roman" w:cs="Times New Roman" w:eastAsia="Times New Roman" w:hAnsi="Times New Roman"/>
          <w:sz w:val="16"/>
          <w:szCs w:val="16"/>
          <w:u w:val="single" w:color="auto"/>
          <w:color w:val="auto"/>
        </w:rPr>
        <w:t>https://www.sec.gov/ix?doc=/Archives/edgar/data/743238/000143774924005136/shyf20231231c_10k.htm</w:t>
      </w:r>
      <w:r>
        <w:rPr>
          <w:rFonts w:ascii="Times New Roman" w:cs="Times New Roman" w:eastAsia="Times New Roman" w:hAnsi="Times New Roman"/>
          <w:sz w:val="16"/>
          <w:szCs w:val="16"/>
          <w:color w:val="auto"/>
        </w:rPr>
        <w:t>), and certain of its Current Reports filed on Form 8-K. These documents can be obtained free of charge from the sources indicated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Aebi Schmidt will file a registration statement on Form S-4 with the SEC in connection with the proposed transaction. The Form S-4 will contain a combined proxy statement/prospectus of Shyft and Aebi Schmidt. Aebi Schmidt and Shyft will prepare and file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WHEN AVAILABLE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www.sec.gov. Copies of documents filed with the SEC by Shyft will be made available free of charge on Shyft’s investor relations website at https://theshyftgroup.com/investor-relations/.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Certain statements in this Current Report on Form 8-K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spacing w:after="0" w:line="1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3" w:name="page4"/>
    <w:bookmarkEnd w:id="3"/>
    <w:p>
      <w:pPr>
        <w:ind w:right="60"/>
        <w:spacing w:after="0" w:line="252" w:lineRule="auto"/>
        <w:rPr>
          <w:sz w:val="20"/>
          <w:szCs w:val="20"/>
          <w:color w:val="auto"/>
        </w:rPr>
      </w:pPr>
      <w:r>
        <w:rPr>
          <w:rFonts w:ascii="Times New Roman" w:cs="Times New Roman" w:eastAsia="Times New Roman" w:hAnsi="Times New Roman"/>
          <w:sz w:val="16"/>
          <w:szCs w:val="16"/>
          <w:color w:val="auto"/>
        </w:rPr>
        <w:t>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will be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communication to conform its prior statements to actual results, revised expectations or to reflect the occurrence of anticipated or unanticipated events.</w:t>
      </w:r>
    </w:p>
    <w:p>
      <w:pPr>
        <w:spacing w:after="0" w:line="16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Additional information concerning these and other factors that may impact Shyft’s and Aebi Schmidt’s expectations and projections can be found in Shyft’s periodic filings with the SEC, including Shyft’s Annual Report on Form 10-K for the fiscal year ended December 31, 2023, and any subsequent Quarterly Reports on Form 10-Q and Current Reports on Form 8-K. Shyft’s SEC filings are available publicly on the SEC’s website at www.sec.gov.</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3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382"/>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(d) Exhibits</w:t>
            </w: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363"/>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210"/>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60" w:type="dxa"/>
            <w:vAlign w:val="bottom"/>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51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1</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Press Release dated December 16, 2024.</w:t>
            </w:r>
          </w:p>
        </w:tc>
      </w:tr>
      <w:tr>
        <w:trPr>
          <w:trHeight w:val="20"/>
        </w:trPr>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71"/>
        </w:trPr>
        <w:tc>
          <w:tcPr>
            <w:tcW w:w="280" w:type="dxa"/>
            <w:vAlign w:val="bottom"/>
            <w:tcBorders>
              <w:bottom w:val="single" w:sz="8" w:color="0000EE"/>
            </w:tcBorders>
          </w:tcPr>
          <w:p>
            <w:pPr>
              <w:spacing w:after="0" w:line="171" w:lineRule="exact"/>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2</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Borders>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98"/>
              </w:rPr>
              <w:t>Investor Presentation dated December 16, 2024.</w:t>
            </w:r>
          </w:p>
        </w:tc>
        <w:tc>
          <w:tcPr>
            <w:tcW w:w="6960" w:type="dxa"/>
            <w:vAlign w:val="bottom"/>
          </w:tcPr>
          <w:p>
            <w:pPr>
              <w:spacing w:after="0"/>
              <w:rPr>
                <w:sz w:val="14"/>
                <w:szCs w:val="14"/>
                <w:color w:val="auto"/>
              </w:rPr>
            </w:pPr>
          </w:p>
        </w:tc>
      </w:tr>
      <w:tr>
        <w:trPr>
          <w:trHeight w:val="422"/>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in inline XBRL.</w:t>
            </w:r>
          </w:p>
        </w:tc>
      </w:tr>
      <w:tr>
        <w:trPr>
          <w:trHeight w:val="740"/>
        </w:trPr>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29" w:right="319" w:bottom="1440" w:gutter="0" w:footer="0" w:header="0"/>
        </w:sectPr>
      </w:pPr>
    </w:p>
    <w:bookmarkStart w:id="4" w:name="page5"/>
    <w:bookmarkEnd w:id="4"/>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6"/>
          <w:szCs w:val="16"/>
          <w:color w:val="auto"/>
        </w:rPr>
        <w:t>Date: December 16, 2024</w:t>
      </w:r>
      <w:r>
        <w:rPr>
          <w:sz w:val="20"/>
          <w:szCs w:val="20"/>
          <w:color w:val="auto"/>
        </w:rPr>
        <w:tab/>
      </w:r>
      <w:r>
        <w:rPr>
          <w:rFonts w:ascii="Times New Roman" w:cs="Times New Roman" w:eastAsia="Times New Roman" w:hAnsi="Times New Roman"/>
          <w:sz w:val="15"/>
          <w:szCs w:val="15"/>
          <w:b w:val="1"/>
          <w:bCs w:val="1"/>
          <w:color w:val="auto"/>
        </w:rPr>
        <w:t>THE SHYFT GROUP, INC.</w:t>
      </w:r>
    </w:p>
    <w:p>
      <w:pPr>
        <w:spacing w:after="0" w:line="200" w:lineRule="exact"/>
        <w:rPr>
          <w:sz w:val="20"/>
          <w:szCs w:val="20"/>
          <w:color w:val="auto"/>
        </w:rPr>
      </w:pPr>
    </w:p>
    <w:p>
      <w:pPr>
        <w:ind w:left="5300"/>
        <w:spacing w:after="0"/>
        <w:tabs>
          <w:tab w:leader="none" w:pos="5720" w:val="left"/>
        </w:tabs>
        <w:rPr>
          <w:sz w:val="20"/>
          <w:szCs w:val="20"/>
          <w:color w:val="auto"/>
        </w:rPr>
      </w:pPr>
      <w:r>
        <w:rPr>
          <w:rFonts w:ascii="Times New Roman" w:cs="Times New Roman" w:eastAsia="Times New Roman" w:hAnsi="Times New Roman"/>
          <w:sz w:val="16"/>
          <w:szCs w:val="16"/>
          <w:color w:val="auto"/>
        </w:rPr>
        <w:t>By:</w:t>
        <w:tab/>
        <w:t>/s/ Joshua A. Sherbin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15240</wp:posOffset>
            </wp:positionV>
            <wp:extent cx="30016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1645" cy="762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Name: Joshua A. Sherbin</w:t>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Title: Chief Legal Administrative and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474345</wp:posOffset>
            </wp:positionV>
            <wp:extent cx="71481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0820"/>
          </w:cols>
          <w:pgMar w:left="320" w:top="742"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0" w:lineRule="exact"/>
        <w:rPr>
          <w:sz w:val="20"/>
          <w:szCs w:val="20"/>
          <w:color w:val="auto"/>
        </w:rPr>
      </w:pPr>
    </w:p>
    <w:p>
      <w:pPr>
        <w:spacing w:after="0" w:line="233"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The Shyft Group to Merge with Aebi Schmidt Group to Create</w:t>
      </w:r>
    </w:p>
    <w:p>
      <w:pPr>
        <w:spacing w:after="0" w:line="2"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 Specialty Vehicles Leader</w:t>
      </w:r>
    </w:p>
    <w:p>
      <w:pPr>
        <w:spacing w:after="0" w:line="152" w:lineRule="exact"/>
        <w:rPr>
          <w:sz w:val="20"/>
          <w:szCs w:val="20"/>
          <w:color w:val="auto"/>
        </w:rPr>
      </w:pPr>
    </w:p>
    <w:p>
      <w:pPr>
        <w:ind w:left="565" w:hanging="278"/>
        <w:spacing w:after="0"/>
        <w:tabs>
          <w:tab w:leader="none" w:pos="5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Significant Scale in Attractive North American Market with Strong European Presence</w:t>
      </w:r>
    </w:p>
    <w:p>
      <w:pPr>
        <w:spacing w:after="0" w:line="221" w:lineRule="exact"/>
        <w:rPr>
          <w:rFonts w:ascii="Times New Roman" w:cs="Times New Roman" w:eastAsia="Times New Roman" w:hAnsi="Times New Roman"/>
          <w:sz w:val="16"/>
          <w:szCs w:val="16"/>
          <w:color w:val="auto"/>
        </w:rPr>
      </w:pPr>
    </w:p>
    <w:p>
      <w:pPr>
        <w:ind w:left="565" w:hanging="278"/>
        <w:spacing w:after="0"/>
        <w:tabs>
          <w:tab w:leader="none" w:pos="5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Highly Complementary Portfolios Create Opportunities to Better Serve Customers and Drive Competitive Growth</w:t>
      </w:r>
    </w:p>
    <w:p>
      <w:pPr>
        <w:spacing w:after="0" w:line="215" w:lineRule="exact"/>
        <w:rPr>
          <w:rFonts w:ascii="Times New Roman" w:cs="Times New Roman" w:eastAsia="Times New Roman" w:hAnsi="Times New Roman"/>
          <w:sz w:val="16"/>
          <w:szCs w:val="16"/>
          <w:color w:val="auto"/>
        </w:rPr>
      </w:pPr>
    </w:p>
    <w:p>
      <w:pPr>
        <w:ind w:left="565" w:hanging="278"/>
        <w:spacing w:after="0"/>
        <w:tabs>
          <w:tab w:leader="none" w:pos="565" w:val="left"/>
        </w:tabs>
        <w:numPr>
          <w:ilvl w:val="0"/>
          <w:numId w:val="3"/>
        </w:numPr>
        <w:rPr>
          <w:rFonts w:ascii="Times New Roman" w:cs="Times New Roman" w:eastAsia="Times New Roman" w:hAnsi="Times New Roman"/>
          <w:sz w:val="32"/>
          <w:szCs w:val="32"/>
          <w:color w:val="auto"/>
          <w:vertAlign w:val="superscript"/>
        </w:rPr>
      </w:pPr>
      <w:r>
        <w:rPr>
          <w:rFonts w:ascii="Arial" w:cs="Arial" w:eastAsia="Arial" w:hAnsi="Arial"/>
          <w:sz w:val="16"/>
          <w:szCs w:val="16"/>
          <w:i w:val="1"/>
          <w:iCs w:val="1"/>
          <w:color w:val="auto"/>
        </w:rPr>
        <w:t>Expected to Generate 2024E Pro Forma</w:t>
      </w:r>
      <w:r>
        <w:rPr>
          <w:rFonts w:ascii="Arial" w:cs="Arial" w:eastAsia="Arial" w:hAnsi="Arial"/>
          <w:sz w:val="26"/>
          <w:szCs w:val="26"/>
          <w:b w:val="1"/>
          <w:bCs w:val="1"/>
          <w:i w:val="1"/>
          <w:iCs w:val="1"/>
          <w:color w:val="auto"/>
          <w:vertAlign w:val="superscript"/>
        </w:rPr>
        <w:t>1</w:t>
      </w:r>
      <w:r>
        <w:rPr>
          <w:rFonts w:ascii="Arial" w:cs="Arial" w:eastAsia="Arial" w:hAnsi="Arial"/>
          <w:sz w:val="16"/>
          <w:szCs w:val="16"/>
          <w:i w:val="1"/>
          <w:iCs w:val="1"/>
          <w:color w:val="auto"/>
        </w:rPr>
        <w:t xml:space="preserve"> Revenue of ~$1.95 Billion</w:t>
      </w:r>
      <w:r>
        <w:rPr>
          <w:rFonts w:ascii="Arial" w:cs="Arial" w:eastAsia="Arial" w:hAnsi="Arial"/>
          <w:sz w:val="26"/>
          <w:szCs w:val="26"/>
          <w:b w:val="1"/>
          <w:bCs w:val="1"/>
          <w:i w:val="1"/>
          <w:iCs w:val="1"/>
          <w:color w:val="auto"/>
          <w:vertAlign w:val="superscript"/>
        </w:rPr>
        <w:t>2</w:t>
      </w:r>
      <w:r>
        <w:rPr>
          <w:rFonts w:ascii="Arial" w:cs="Arial" w:eastAsia="Arial" w:hAnsi="Arial"/>
          <w:sz w:val="16"/>
          <w:szCs w:val="16"/>
          <w:i w:val="1"/>
          <w:iCs w:val="1"/>
          <w:color w:val="auto"/>
        </w:rPr>
        <w:t xml:space="preserve"> and Adjusted EBITDA</w:t>
      </w:r>
      <w:r>
        <w:rPr>
          <w:rFonts w:ascii="Arial" w:cs="Arial" w:eastAsia="Arial" w:hAnsi="Arial"/>
          <w:sz w:val="26"/>
          <w:szCs w:val="26"/>
          <w:b w:val="1"/>
          <w:bCs w:val="1"/>
          <w:i w:val="1"/>
          <w:iCs w:val="1"/>
          <w:color w:val="auto"/>
          <w:vertAlign w:val="superscript"/>
        </w:rPr>
        <w:t>3</w:t>
      </w:r>
      <w:r>
        <w:rPr>
          <w:rFonts w:ascii="Arial" w:cs="Arial" w:eastAsia="Arial" w:hAnsi="Arial"/>
          <w:sz w:val="16"/>
          <w:szCs w:val="16"/>
          <w:i w:val="1"/>
          <w:iCs w:val="1"/>
          <w:color w:val="auto"/>
        </w:rPr>
        <w:t xml:space="preserve"> of ~$200 Million+ Including Synergies</w:t>
      </w:r>
    </w:p>
    <w:p>
      <w:pPr>
        <w:spacing w:after="0" w:line="69" w:lineRule="exact"/>
        <w:rPr>
          <w:rFonts w:ascii="Times New Roman" w:cs="Times New Roman" w:eastAsia="Times New Roman" w:hAnsi="Times New Roman"/>
          <w:sz w:val="32"/>
          <w:szCs w:val="32"/>
          <w:color w:val="auto"/>
          <w:vertAlign w:val="superscript"/>
        </w:rPr>
      </w:pPr>
    </w:p>
    <w:p>
      <w:pPr>
        <w:ind w:left="565" w:right="100" w:hanging="278"/>
        <w:spacing w:after="0" w:line="182" w:lineRule="auto"/>
        <w:tabs>
          <w:tab w:leader="none" w:pos="565" w:val="left"/>
        </w:tabs>
        <w:numPr>
          <w:ilvl w:val="0"/>
          <w:numId w:val="3"/>
        </w:numPr>
        <w:rPr>
          <w:rFonts w:ascii="Times New Roman" w:cs="Times New Roman" w:eastAsia="Times New Roman" w:hAnsi="Times New Roman"/>
          <w:sz w:val="32"/>
          <w:szCs w:val="32"/>
          <w:color w:val="auto"/>
          <w:vertAlign w:val="superscript"/>
        </w:rPr>
      </w:pPr>
      <w:r>
        <w:rPr>
          <w:rFonts w:ascii="Arial" w:cs="Arial" w:eastAsia="Arial" w:hAnsi="Arial"/>
          <w:sz w:val="16"/>
          <w:szCs w:val="16"/>
          <w:i w:val="1"/>
          <w:iCs w:val="1"/>
          <w:color w:val="auto"/>
        </w:rPr>
        <w:t>Drives Significant Shareholder Value with $25 – $30 Million in Expected Synergies</w:t>
      </w:r>
      <w:r>
        <w:rPr>
          <w:rFonts w:ascii="Arial" w:cs="Arial" w:eastAsia="Arial" w:hAnsi="Arial"/>
          <w:sz w:val="26"/>
          <w:szCs w:val="26"/>
          <w:b w:val="1"/>
          <w:bCs w:val="1"/>
          <w:i w:val="1"/>
          <w:iCs w:val="1"/>
          <w:color w:val="auto"/>
          <w:vertAlign w:val="superscript"/>
        </w:rPr>
        <w:t>4</w:t>
      </w:r>
      <w:r>
        <w:rPr>
          <w:rFonts w:ascii="Arial" w:cs="Arial" w:eastAsia="Arial" w:hAnsi="Arial"/>
          <w:sz w:val="16"/>
          <w:szCs w:val="16"/>
          <w:i w:val="1"/>
          <w:iCs w:val="1"/>
          <w:color w:val="auto"/>
        </w:rPr>
        <w:t xml:space="preserve"> by Year 2, EPS Accretion in Year 1 and ROIC Greater than Cost of Capital in Year 3 Post Close</w:t>
      </w:r>
    </w:p>
    <w:p>
      <w:pPr>
        <w:spacing w:after="0" w:line="188" w:lineRule="exact"/>
        <w:rPr>
          <w:rFonts w:ascii="Times New Roman" w:cs="Times New Roman" w:eastAsia="Times New Roman" w:hAnsi="Times New Roman"/>
          <w:sz w:val="32"/>
          <w:szCs w:val="32"/>
          <w:color w:val="auto"/>
          <w:vertAlign w:val="superscript"/>
        </w:rPr>
      </w:pPr>
    </w:p>
    <w:p>
      <w:pPr>
        <w:ind w:left="565" w:right="20" w:hanging="278"/>
        <w:spacing w:after="0" w:line="263" w:lineRule="auto"/>
        <w:tabs>
          <w:tab w:leader="none" w:pos="5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Barend Fruithof, Current CEO of Aebi Schmidt, Named President and CEO Elect; James Sharman, Current Chairman of Shyft Board, Named Chairman Elect</w:t>
      </w:r>
    </w:p>
    <w:p>
      <w:pPr>
        <w:spacing w:after="0" w:line="168" w:lineRule="exact"/>
        <w:rPr>
          <w:rFonts w:ascii="Times New Roman" w:cs="Times New Roman" w:eastAsia="Times New Roman" w:hAnsi="Times New Roman"/>
          <w:sz w:val="16"/>
          <w:szCs w:val="16"/>
          <w:color w:val="auto"/>
        </w:rPr>
      </w:pPr>
    </w:p>
    <w:p>
      <w:pPr>
        <w:ind w:left="565" w:hanging="278"/>
        <w:spacing w:after="0"/>
        <w:tabs>
          <w:tab w:leader="none" w:pos="5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Combined Company will Trade on NASDAQ</w:t>
      </w:r>
    </w:p>
    <w:p>
      <w:pPr>
        <w:spacing w:after="0" w:line="183" w:lineRule="exact"/>
        <w:rPr>
          <w:sz w:val="20"/>
          <w:szCs w:val="20"/>
          <w:color w:val="auto"/>
        </w:rPr>
      </w:pPr>
    </w:p>
    <w:p>
      <w:pPr>
        <w:ind w:left="5" w:right="60"/>
        <w:spacing w:after="0"/>
        <w:rPr>
          <w:sz w:val="20"/>
          <w:szCs w:val="20"/>
          <w:color w:val="auto"/>
        </w:rPr>
      </w:pPr>
      <w:r>
        <w:rPr>
          <w:rFonts w:ascii="Arial" w:cs="Arial" w:eastAsia="Arial" w:hAnsi="Arial"/>
          <w:sz w:val="16"/>
          <w:szCs w:val="16"/>
          <w:color w:val="auto"/>
        </w:rPr>
        <w:t>NOVI, MI and FRAUENFELD (CH), December 16, 2024 /PRNewswire/ -- The Shyft Group (NASDAQ: SHYF) (“Shyft”), and Aebi Schmidt Group (“Aebi Schmidt”), today announced a definitive agreement to combine in an all-stock merger to create a leading specialty vehicles company positioned for outsized growth. Under the terms of the agreement, each outstanding share of Shyft common stock will be exchanged for 1.04 shares of the combined company’s common stock. At closing, Shyft shareholders will own 48 percent of the combined company, with Aebi Schmidt shareholders owning 52 percent. The transaction, which is structured to be tax-free to Shyft shareholders, has been unanimously approved by the members of the Board of Directors present of each company.</w:t>
      </w:r>
    </w:p>
    <w:p>
      <w:pPr>
        <w:spacing w:after="0" w:line="150" w:lineRule="exact"/>
        <w:rPr>
          <w:sz w:val="20"/>
          <w:szCs w:val="20"/>
          <w:color w:val="auto"/>
        </w:rPr>
      </w:pPr>
    </w:p>
    <w:p>
      <w:pPr>
        <w:ind w:left="5" w:right="320"/>
        <w:spacing w:after="0" w:line="242" w:lineRule="auto"/>
        <w:rPr>
          <w:sz w:val="20"/>
          <w:szCs w:val="20"/>
          <w:color w:val="auto"/>
        </w:rPr>
      </w:pPr>
      <w:r>
        <w:rPr>
          <w:rFonts w:ascii="Arial" w:cs="Arial" w:eastAsia="Arial" w:hAnsi="Arial"/>
          <w:sz w:val="16"/>
          <w:szCs w:val="16"/>
          <w:color w:val="auto"/>
        </w:rPr>
        <w:t>The merger will combine Aebi Schmidt’s specialty vehicle products and services, including commercial truck upfitting, snow and ice, street sweeping and pavement marking, airport snow and ice, and agricultural solutions, with Shyft’s manufacturing, assembly, and upfit for the commercial, retail, and service specialty vehicle markets to create a full-suite of offerings for both companies’ customers. The combined company will benefit from a scaled platform in the attractive North American market, complemented by a strong European presence, and an enhanced financial profile to support profitable growth and deliver additional value to shareholders.</w:t>
      </w:r>
    </w:p>
    <w:p>
      <w:pPr>
        <w:spacing w:after="0" w:line="147" w:lineRule="exact"/>
        <w:rPr>
          <w:sz w:val="20"/>
          <w:szCs w:val="20"/>
          <w:color w:val="auto"/>
        </w:rPr>
      </w:pPr>
    </w:p>
    <w:p>
      <w:pPr>
        <w:ind w:left="5" w:right="260"/>
        <w:spacing w:after="0" w:line="267" w:lineRule="auto"/>
        <w:rPr>
          <w:sz w:val="20"/>
          <w:szCs w:val="20"/>
          <w:color w:val="auto"/>
        </w:rPr>
      </w:pPr>
      <w:r>
        <w:rPr>
          <w:rFonts w:ascii="Arial" w:cs="Arial" w:eastAsia="Arial" w:hAnsi="Arial"/>
          <w:sz w:val="16"/>
          <w:szCs w:val="16"/>
          <w:color w:val="auto"/>
        </w:rPr>
        <w:t>“Combining with Aebi Schmidt is a powerful next step in Shyft’s strategy as we leverage the strengths of both companies’ industry leading brands, innovative products, extensive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2884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spacing w:after="0" w:line="148" w:lineRule="exact"/>
        <w:rPr>
          <w:sz w:val="20"/>
          <w:szCs w:val="20"/>
          <w:color w:val="auto"/>
        </w:rPr>
      </w:pPr>
    </w:p>
    <w:p>
      <w:pPr>
        <w:ind w:left="125" w:hanging="125"/>
        <w:spacing w:after="0"/>
        <w:tabs>
          <w:tab w:leader="none" w:pos="125"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Aebi Schmidt financials presented on a Swiss GAAP FER basis; Financials converted to USD using a EUR / USD exchange rate of 1.05 (as of 12/13/24)</w:t>
      </w:r>
    </w:p>
    <w:p>
      <w:pPr>
        <w:spacing w:after="0" w:line="20" w:lineRule="exact"/>
        <w:rPr>
          <w:sz w:val="20"/>
          <w:szCs w:val="20"/>
          <w:color w:val="auto"/>
        </w:rPr>
      </w:pPr>
    </w:p>
    <w:p>
      <w:pPr>
        <w:ind w:left="5" w:right="100" w:hanging="5"/>
        <w:spacing w:after="0" w:line="195" w:lineRule="auto"/>
        <w:tabs>
          <w:tab w:leader="none" w:pos="123"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Shyft 2024 figures based on management guidance as of October 24, 2024 and pro forma revenue adjustment of $37M to show full year impact of ITU acquisition assuming the acquisition had closed on January 1, 2024; Aebi Schmidt 2024 figures include pro forma adjustment to show full year impact of Ladog acquisition assuming the acquisition had closed on January 1, 2024</w:t>
      </w:r>
    </w:p>
    <w:p>
      <w:pPr>
        <w:spacing w:after="0" w:line="22" w:lineRule="exact"/>
        <w:rPr>
          <w:sz w:val="20"/>
          <w:szCs w:val="20"/>
          <w:color w:val="auto"/>
        </w:rPr>
      </w:pPr>
    </w:p>
    <w:p>
      <w:pPr>
        <w:ind w:left="5" w:right="200" w:hanging="5"/>
        <w:spacing w:after="0" w:line="188" w:lineRule="auto"/>
        <w:tabs>
          <w:tab w:leader="none" w:pos="123"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Shyft Adjusted EBITDA excludes approximately $22.5M of expense related to investment in Blue Arc and a pro forma adjustment of approximately $6.3M to include the full-year impact of the ITU acquisition assuming the acquisition had closed on 1/1/24</w:t>
      </w:r>
    </w:p>
    <w:p>
      <w:pPr>
        <w:spacing w:after="0" w:line="1" w:lineRule="exact"/>
        <w:rPr>
          <w:rFonts w:ascii="Arial" w:cs="Arial" w:eastAsia="Arial" w:hAnsi="Arial"/>
          <w:sz w:val="27"/>
          <w:szCs w:val="27"/>
          <w:color w:val="auto"/>
          <w:vertAlign w:val="superscript"/>
        </w:rPr>
      </w:pPr>
    </w:p>
    <w:p>
      <w:pPr>
        <w:ind w:left="5"/>
        <w:spacing w:after="0"/>
        <w:rPr>
          <w:rFonts w:ascii="Arial" w:cs="Arial" w:eastAsia="Arial" w:hAnsi="Arial"/>
          <w:sz w:val="27"/>
          <w:szCs w:val="27"/>
          <w:color w:val="auto"/>
          <w:vertAlign w:val="superscript"/>
        </w:rPr>
      </w:pPr>
      <w:r>
        <w:rPr>
          <w:rFonts w:ascii="Arial" w:cs="Arial" w:eastAsia="Arial" w:hAnsi="Arial"/>
          <w:sz w:val="26"/>
          <w:szCs w:val="26"/>
          <w:color w:val="auto"/>
          <w:vertAlign w:val="superscript"/>
        </w:rPr>
        <w:t>4</w:t>
      </w:r>
      <w:r>
        <w:rPr>
          <w:rFonts w:ascii="Arial" w:cs="Arial" w:eastAsia="Arial" w:hAnsi="Arial"/>
          <w:sz w:val="16"/>
          <w:szCs w:val="16"/>
          <w:color w:val="auto"/>
        </w:rPr>
        <w:t xml:space="preserve"> Total synergies comprised of $20M to $25M cost synergies and an additional $5M EBITDA opportunity from near-term revenue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346710</wp:posOffset>
            </wp:positionV>
            <wp:extent cx="71481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111" w:right="319" w:bottom="1440" w:gutter="0" w:footer="0" w:header="0"/>
        </w:sectPr>
      </w:pPr>
    </w:p>
    <w:bookmarkStart w:id="6" w:name="page7"/>
    <w:bookmarkEnd w:id="6"/>
    <w:p>
      <w:pPr>
        <w:ind w:right="80"/>
        <w:spacing w:after="0" w:line="250" w:lineRule="auto"/>
        <w:rPr>
          <w:sz w:val="20"/>
          <w:szCs w:val="20"/>
          <w:color w:val="auto"/>
        </w:rPr>
      </w:pPr>
      <w:r>
        <w:rPr>
          <w:rFonts w:ascii="Arial" w:cs="Arial" w:eastAsia="Arial" w:hAnsi="Arial"/>
          <w:sz w:val="16"/>
          <w:szCs w:val="16"/>
          <w:color w:val="auto"/>
        </w:rPr>
        <w:t>relationships, and manufacturing excellence,” said John Dunn, President and CEO of Shyft. “This transaction creates a more resilient company with meaningful growth opportunities in the commercial truck space and infrastructure related solutions. I am confident Shyft’s talented team members will thrive within this newly combined platform and that this transaction is the best path forward to unlocking value for our shareholders.”</w:t>
      </w:r>
    </w:p>
    <w:p>
      <w:pPr>
        <w:spacing w:after="0" w:line="141"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Barend Fruithof, CEO of Aebi Schmidt said, “By bringing together the capabilities and expertise of both companies, we are establishing a truly differentiated leader in the specialty vehicles industry supported by our shared focus on customer-centric innovation and operational excellence. Aebi Schmidt has a proven track record of driving strong financial performance and successfully executing M&amp;A to deliver significant revenue and adjusted EBITDA growth. I firmly believe this strategic combination offers a unique and highly compelling opportunity to create tremendous shareholder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Merger Drives Long-Term Shareholder Value with Compelling Strategic and Financial Benefits</w:t>
      </w:r>
    </w:p>
    <w:p>
      <w:pPr>
        <w:spacing w:after="0" w:line="174" w:lineRule="exact"/>
        <w:rPr>
          <w:sz w:val="20"/>
          <w:szCs w:val="20"/>
          <w:color w:val="auto"/>
        </w:rPr>
      </w:pPr>
    </w:p>
    <w:p>
      <w:pPr>
        <w:ind w:left="560" w:right="360" w:hanging="278"/>
        <w:spacing w:after="0" w:line="244" w:lineRule="auto"/>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Scaled-Up Global Leader in North American and European Markets</w:t>
      </w:r>
      <w:r>
        <w:rPr>
          <w:rFonts w:ascii="Arial" w:cs="Arial" w:eastAsia="Arial" w:hAnsi="Arial"/>
          <w:sz w:val="16"/>
          <w:szCs w:val="16"/>
          <w:color w:val="auto"/>
        </w:rPr>
        <w:t>: The transaction creates a leading specialty vehicle producer with a scaled</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in the attractive North American market, representing approximately 75% of the combined company’s revenue, complemented by Aebi Schmidt’s European presence. The combined company will be poised to capitalize on significant growth opportunities in attractive end-markets, including the high-margin commercial truck market in North America.</w:t>
      </w:r>
    </w:p>
    <w:p>
      <w:pPr>
        <w:spacing w:after="0" w:line="146" w:lineRule="exact"/>
        <w:rPr>
          <w:rFonts w:ascii="Times New Roman" w:cs="Times New Roman" w:eastAsia="Times New Roman" w:hAnsi="Times New Roman"/>
          <w:sz w:val="16"/>
          <w:szCs w:val="16"/>
          <w:color w:val="auto"/>
        </w:rPr>
      </w:pPr>
    </w:p>
    <w:p>
      <w:pPr>
        <w:ind w:left="560" w:right="280" w:hanging="278"/>
        <w:spacing w:after="0" w:line="241" w:lineRule="auto"/>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Expanded Portfolio Better Positioned to Drive Customer Value and Outsized Growth</w:t>
      </w:r>
      <w:r>
        <w:rPr>
          <w:rFonts w:ascii="Arial" w:cs="Arial" w:eastAsia="Arial" w:hAnsi="Arial"/>
          <w:sz w:val="16"/>
          <w:szCs w:val="16"/>
          <w:color w:val="auto"/>
        </w:rPr>
        <w:t>: The merger brings together two highly complementary</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suites, providing customers with a diverse portfolio of leading brands and premium products and services. The combination will enhance the ability to better serve customers and deliver increased value through an expanded production footprint, sales distribution capabilities, innovative solutions, and in-house manufacturing of key vehicle components. These combined capabilities will create a highly competitive company, better positioned to drive outsized growth.</w:t>
      </w:r>
    </w:p>
    <w:p>
      <w:pPr>
        <w:spacing w:after="0" w:line="149" w:lineRule="exact"/>
        <w:rPr>
          <w:rFonts w:ascii="Times New Roman" w:cs="Times New Roman" w:eastAsia="Times New Roman" w:hAnsi="Times New Roman"/>
          <w:sz w:val="16"/>
          <w:szCs w:val="16"/>
          <w:color w:val="auto"/>
        </w:rPr>
      </w:pPr>
    </w:p>
    <w:p>
      <w:pPr>
        <w:ind w:left="560" w:hanging="278"/>
        <w:spacing w:after="0" w:line="244" w:lineRule="auto"/>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Unlocks Achievable Synergies</w:t>
      </w:r>
      <w:r>
        <w:rPr>
          <w:rFonts w:ascii="Arial" w:cs="Arial" w:eastAsia="Arial" w:hAnsi="Arial"/>
          <w:sz w:val="16"/>
          <w:szCs w:val="16"/>
          <w:color w:val="auto"/>
        </w:rPr>
        <w:t>: Together, Shyft and Aebi Schmidt expect to generate $20 to $25 million of annual run-rate cost synergies driven by</w:t>
      </w:r>
      <w:r>
        <w:rPr>
          <w:rFonts w:ascii="Arial" w:cs="Arial" w:eastAsia="Arial" w:hAnsi="Arial"/>
          <w:sz w:val="16"/>
          <w:szCs w:val="16"/>
          <w:b w:val="1"/>
          <w:bCs w:val="1"/>
          <w:color w:val="auto"/>
        </w:rPr>
        <w:t xml:space="preserve"> </w:t>
      </w:r>
      <w:r>
        <w:rPr>
          <w:rFonts w:ascii="Arial" w:cs="Arial" w:eastAsia="Arial" w:hAnsi="Arial"/>
          <w:sz w:val="16"/>
          <w:szCs w:val="16"/>
          <w:color w:val="auto"/>
        </w:rPr>
        <w:t>cost optimization and operational efficiency gains across a stronger distribution platform and approximately $5 million in additional adjusted EBITDA opportunity from near-term revenue synergies from cross-selling and geographic expansion. These synergies are expected to be realized by the second year following the close of the transaction, resulting in double-digit EBITDA margins of the combined organization.</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48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708" w:right="319" w:bottom="1440" w:gutter="0" w:footer="0" w:header="0"/>
        </w:sectPr>
      </w:pPr>
    </w:p>
    <w:bookmarkStart w:id="7" w:name="page8"/>
    <w:bookmarkEnd w:id="7"/>
    <w:p>
      <w:pPr>
        <w:ind w:left="565" w:hanging="278"/>
        <w:spacing w:after="0" w:line="203" w:lineRule="auto"/>
        <w:tabs>
          <w:tab w:leader="none" w:pos="5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Strengthens Financial Profile: </w:t>
      </w:r>
      <w:r>
        <w:rPr>
          <w:rFonts w:ascii="Arial" w:cs="Arial" w:eastAsia="Arial" w:hAnsi="Arial"/>
          <w:sz w:val="16"/>
          <w:szCs w:val="16"/>
          <w:color w:val="auto"/>
        </w:rPr>
        <w:t>The combined organization is expected to generate long-term profitable growth, stronger margins, and enhanced free</w:t>
      </w:r>
      <w:r>
        <w:rPr>
          <w:rFonts w:ascii="Arial" w:cs="Arial" w:eastAsia="Arial" w:hAnsi="Arial"/>
          <w:sz w:val="16"/>
          <w:szCs w:val="16"/>
          <w:b w:val="1"/>
          <w:bCs w:val="1"/>
          <w:color w:val="auto"/>
        </w:rPr>
        <w:t xml:space="preserve"> </w:t>
      </w:r>
      <w:r>
        <w:rPr>
          <w:rFonts w:ascii="Arial" w:cs="Arial" w:eastAsia="Arial" w:hAnsi="Arial"/>
          <w:sz w:val="16"/>
          <w:szCs w:val="16"/>
          <w:color w:val="auto"/>
        </w:rPr>
        <w:t>cash flow, supporting sustainable value creation and access to lower cost capital. The combined company will have pro forma</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2024 estimated revenue of $1.95 billion</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and adjusted EBITDA</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of $200 million+, including synergies. Pro forma net debt will be approximately $485 million as of September 30, 2024.</w:t>
      </w:r>
    </w:p>
    <w:p>
      <w:pPr>
        <w:spacing w:after="0" w:line="149" w:lineRule="exact"/>
        <w:rPr>
          <w:rFonts w:ascii="Times New Roman" w:cs="Times New Roman" w:eastAsia="Times New Roman" w:hAnsi="Times New Roman"/>
          <w:sz w:val="16"/>
          <w:szCs w:val="16"/>
          <w:color w:val="auto"/>
        </w:rPr>
      </w:pPr>
    </w:p>
    <w:p>
      <w:pPr>
        <w:ind w:left="565" w:right="280" w:hanging="278"/>
        <w:spacing w:after="0" w:line="244" w:lineRule="auto"/>
        <w:tabs>
          <w:tab w:leader="none" w:pos="5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Delivers Significant Value for Shareholders: </w:t>
      </w:r>
      <w:r>
        <w:rPr>
          <w:rFonts w:ascii="Arial" w:cs="Arial" w:eastAsia="Arial" w:hAnsi="Arial"/>
          <w:sz w:val="16"/>
          <w:szCs w:val="16"/>
          <w:color w:val="auto"/>
        </w:rPr>
        <w:t>The transaction is expected to be accretive to EPS and generate Return on Invested Capital (ROIC)</w:t>
      </w:r>
      <w:r>
        <w:rPr>
          <w:rFonts w:ascii="Arial" w:cs="Arial" w:eastAsia="Arial" w:hAnsi="Arial"/>
          <w:sz w:val="16"/>
          <w:szCs w:val="16"/>
          <w:b w:val="1"/>
          <w:bCs w:val="1"/>
          <w:color w:val="auto"/>
        </w:rPr>
        <w:t xml:space="preserve"> </w:t>
      </w:r>
      <w:r>
        <w:rPr>
          <w:rFonts w:ascii="Arial" w:cs="Arial" w:eastAsia="Arial" w:hAnsi="Arial"/>
          <w:sz w:val="16"/>
          <w:szCs w:val="16"/>
          <w:color w:val="auto"/>
        </w:rPr>
        <w:t>above Weighted Average Cost of Capital (WACC) by the first and third years following the close of the transaction, respectively, creating a highly attractive opportunity for the shareholders of the combined company. The combined company will be positioned to drive additional long-term upside through the acceleration of its growth strategy focused on organic investments, portfolio opportunities, and future M&amp;A opportunities.</w:t>
      </w:r>
    </w:p>
    <w:p>
      <w:pPr>
        <w:spacing w:after="0" w:line="146" w:lineRule="exact"/>
        <w:rPr>
          <w:rFonts w:ascii="Times New Roman" w:cs="Times New Roman" w:eastAsia="Times New Roman" w:hAnsi="Times New Roman"/>
          <w:sz w:val="16"/>
          <w:szCs w:val="16"/>
          <w:color w:val="auto"/>
        </w:rPr>
      </w:pPr>
    </w:p>
    <w:p>
      <w:pPr>
        <w:ind w:left="565" w:right="220" w:hanging="278"/>
        <w:spacing w:after="0" w:line="244" w:lineRule="auto"/>
        <w:tabs>
          <w:tab w:leader="none" w:pos="5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Best-In-Class Management Team with Demonstrated Track-Record: </w:t>
      </w:r>
      <w:r>
        <w:rPr>
          <w:rFonts w:ascii="Arial" w:cs="Arial" w:eastAsia="Arial" w:hAnsi="Arial"/>
          <w:sz w:val="16"/>
          <w:szCs w:val="16"/>
          <w:color w:val="auto"/>
        </w:rPr>
        <w:t>Barend Fruithof, CEO of Aebi Schmidt, will serve as CEO of the combined</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be based in the US. James Sharman, Chairman of Shyft, will serve as the Chairman of the Board of Directors. John Dunn, Shyft CEO, will remain with the company following the close of the transaction to support a seamless integration. Additional leadership will draw on the highly experienced teams of both companies.</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Governance Information</w:t>
      </w:r>
    </w:p>
    <w:p>
      <w:pPr>
        <w:spacing w:after="0" w:line="174" w:lineRule="exact"/>
        <w:rPr>
          <w:sz w:val="20"/>
          <w:szCs w:val="20"/>
          <w:color w:val="auto"/>
        </w:rPr>
      </w:pPr>
    </w:p>
    <w:p>
      <w:pPr>
        <w:ind w:left="5" w:right="60"/>
        <w:spacing w:after="0" w:line="267" w:lineRule="auto"/>
        <w:rPr>
          <w:sz w:val="20"/>
          <w:szCs w:val="20"/>
          <w:color w:val="auto"/>
        </w:rPr>
      </w:pPr>
      <w:r>
        <w:rPr>
          <w:rFonts w:ascii="Arial" w:cs="Arial" w:eastAsia="Arial" w:hAnsi="Arial"/>
          <w:sz w:val="16"/>
          <w:szCs w:val="16"/>
          <w:color w:val="auto"/>
        </w:rPr>
        <w:t>The Board of Directors will consist of 11 directors, with five directors nominated by Shyft and six directors nominated by Aebi Schmidt. Seven of these directors will be independent.</w:t>
      </w:r>
    </w:p>
    <w:p>
      <w:pPr>
        <w:spacing w:after="0" w:line="128" w:lineRule="exact"/>
        <w:rPr>
          <w:sz w:val="20"/>
          <w:szCs w:val="20"/>
          <w:color w:val="auto"/>
        </w:rPr>
      </w:pPr>
    </w:p>
    <w:p>
      <w:pPr>
        <w:ind w:left="5" w:right="460"/>
        <w:spacing w:after="0" w:line="267" w:lineRule="auto"/>
        <w:rPr>
          <w:sz w:val="20"/>
          <w:szCs w:val="20"/>
          <w:color w:val="auto"/>
        </w:rPr>
      </w:pPr>
      <w:r>
        <w:rPr>
          <w:rFonts w:ascii="Arial" w:cs="Arial" w:eastAsia="Arial" w:hAnsi="Arial"/>
          <w:sz w:val="16"/>
          <w:szCs w:val="16"/>
          <w:color w:val="auto"/>
        </w:rPr>
        <w:t>Aebi Schmidt majority shareholder Peter Spuhler, an entrepreneurial Swiss-based investor with a strong track record of successful investments in leading industrials companies, will own approximately 35% of the combined company upon completion of the transaction.</w:t>
      </w:r>
    </w:p>
    <w:p>
      <w:pPr>
        <w:spacing w:after="0" w:line="128"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Listing Information</w:t>
      </w:r>
    </w:p>
    <w:p>
      <w:pPr>
        <w:spacing w:after="0" w:line="174" w:lineRule="exact"/>
        <w:rPr>
          <w:sz w:val="20"/>
          <w:szCs w:val="20"/>
          <w:color w:val="auto"/>
        </w:rPr>
      </w:pPr>
    </w:p>
    <w:p>
      <w:pPr>
        <w:ind w:left="5" w:right="20"/>
        <w:spacing w:after="0" w:line="267" w:lineRule="auto"/>
        <w:rPr>
          <w:sz w:val="20"/>
          <w:szCs w:val="20"/>
          <w:color w:val="auto"/>
        </w:rPr>
      </w:pPr>
      <w:r>
        <w:rPr>
          <w:rFonts w:ascii="Arial" w:cs="Arial" w:eastAsia="Arial" w:hAnsi="Arial"/>
          <w:sz w:val="16"/>
          <w:szCs w:val="16"/>
          <w:color w:val="auto"/>
        </w:rPr>
        <w:t>Upon completion of the transaction, the combined company will trade on NASDAQ. The company will be a Swiss-domiciled stock corporation, headquartered in Switzerland, with a strong presence and significant footprint in the US.</w:t>
      </w:r>
    </w:p>
    <w:p>
      <w:pPr>
        <w:spacing w:after="0" w:line="128"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Transaction Financing, Timing and Approvals</w:t>
      </w:r>
    </w:p>
    <w:p>
      <w:pPr>
        <w:spacing w:after="0" w:line="174" w:lineRule="exact"/>
        <w:rPr>
          <w:sz w:val="20"/>
          <w:szCs w:val="20"/>
          <w:color w:val="auto"/>
        </w:rPr>
      </w:pPr>
    </w:p>
    <w:p>
      <w:pPr>
        <w:ind w:left="5" w:right="700"/>
        <w:spacing w:after="0" w:line="267" w:lineRule="auto"/>
        <w:rPr>
          <w:sz w:val="20"/>
          <w:szCs w:val="20"/>
          <w:color w:val="auto"/>
        </w:rPr>
      </w:pPr>
      <w:r>
        <w:rPr>
          <w:rFonts w:ascii="Arial" w:cs="Arial" w:eastAsia="Arial" w:hAnsi="Arial"/>
          <w:sz w:val="16"/>
          <w:szCs w:val="16"/>
          <w:color w:val="auto"/>
        </w:rPr>
        <w:t>The transaction is expected to close by mid-2025, subject to the satisfaction of customary closing conditions, including receipt of customary regulatory approvals and approval by Shyft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12884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spacing w:after="0" w:line="327" w:lineRule="exact"/>
        <w:rPr>
          <w:sz w:val="20"/>
          <w:szCs w:val="20"/>
          <w:color w:val="auto"/>
        </w:rPr>
      </w:pPr>
    </w:p>
    <w:p>
      <w:pPr>
        <w:ind w:left="125" w:hanging="125"/>
        <w:spacing w:after="0"/>
        <w:tabs>
          <w:tab w:leader="none" w:pos="125"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Aebi Schmidt financials presented on a Swiss GAAP FER basis; Financials converted to USD using a EUR / USD exchange rate of 1.05 (as of 12/13/24)</w:t>
      </w:r>
    </w:p>
    <w:p>
      <w:pPr>
        <w:spacing w:after="0" w:line="20" w:lineRule="exact"/>
        <w:rPr>
          <w:sz w:val="20"/>
          <w:szCs w:val="20"/>
          <w:color w:val="auto"/>
        </w:rPr>
      </w:pPr>
    </w:p>
    <w:p>
      <w:pPr>
        <w:ind w:left="5" w:right="60" w:hanging="5"/>
        <w:spacing w:after="0" w:line="195" w:lineRule="auto"/>
        <w:tabs>
          <w:tab w:leader="none" w:pos="123"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Shyft 2024 figures based on management guidance as of October 24, 2024 and pro forma revenue adjustment of $37M to show full year impact of ITU acquisition assuming the acquisition had closed on January 1, 2024; Aebi Schmidt 2024 figures include pro forma adjustment to show full year impact of Ladog acquisition assuming the acquisition had closed on January 1, 2024</w:t>
      </w:r>
    </w:p>
    <w:p>
      <w:pPr>
        <w:spacing w:after="0" w:line="22" w:lineRule="exact"/>
        <w:rPr>
          <w:sz w:val="20"/>
          <w:szCs w:val="20"/>
          <w:color w:val="auto"/>
        </w:rPr>
      </w:pPr>
    </w:p>
    <w:p>
      <w:pPr>
        <w:ind w:left="5" w:right="160" w:hanging="5"/>
        <w:spacing w:after="0" w:line="188" w:lineRule="auto"/>
        <w:tabs>
          <w:tab w:leader="none" w:pos="123"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Shyft Adjusted EBITDA excludes approximately $22.5M of expense related to investment in Blue Arc and a pro forma adjustment of approximately $6.3M to include the full-year impact of the ITU acquisition assuming the acquisition had closed on 1/1/24</w:t>
      </w:r>
    </w:p>
    <w:p>
      <w:pPr>
        <w:spacing w:after="0" w:line="245" w:lineRule="exact"/>
        <w:rPr>
          <w:sz w:val="20"/>
          <w:szCs w:val="20"/>
          <w:color w:val="auto"/>
        </w:rPr>
      </w:pPr>
    </w:p>
    <w:p>
      <w:pPr>
        <w:jc w:val="center"/>
        <w:ind w:right="-84"/>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25"/>
          </w:cols>
          <w:pgMar w:left="315" w:top="529"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shareholders. Shyft and Aebi Schmidt have secured fully-committed financing of the combined company at closing.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 Call</w:t>
      </w:r>
    </w:p>
    <w:p>
      <w:pPr>
        <w:spacing w:after="0" w:line="174" w:lineRule="exact"/>
        <w:rPr>
          <w:sz w:val="20"/>
          <w:szCs w:val="20"/>
          <w:color w:val="auto"/>
        </w:rPr>
      </w:pPr>
    </w:p>
    <w:p>
      <w:pPr>
        <w:ind w:right="480"/>
        <w:spacing w:after="0" w:line="267" w:lineRule="auto"/>
        <w:rPr>
          <w:sz w:val="20"/>
          <w:szCs w:val="20"/>
          <w:color w:val="auto"/>
        </w:rPr>
      </w:pPr>
      <w:r>
        <w:rPr>
          <w:rFonts w:ascii="Arial" w:cs="Arial" w:eastAsia="Arial" w:hAnsi="Arial"/>
          <w:sz w:val="16"/>
          <w:szCs w:val="16"/>
          <w:color w:val="auto"/>
        </w:rPr>
        <w:t>Shyft and Aebi Schmidt will hold an investor call at 8:30am ET / 2:30pm CET today to discuss the details of the transaction. Presentation materials will be available online in advance of the call on Shyft’s website at: theshyftgroup.com/investor-relations.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conference call and webcast will be available via: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Webcast: https://theshyftgroup.com/investor-relations/webcasts/</w:t>
      </w:r>
    </w:p>
    <w:p>
      <w:pPr>
        <w:spacing w:after="0"/>
        <w:rPr>
          <w:sz w:val="20"/>
          <w:szCs w:val="20"/>
          <w:color w:val="auto"/>
        </w:rPr>
      </w:pPr>
      <w:r>
        <w:rPr>
          <w:rFonts w:ascii="Arial" w:cs="Arial" w:eastAsia="Arial" w:hAnsi="Arial"/>
          <w:sz w:val="16"/>
          <w:szCs w:val="16"/>
          <w:color w:val="auto"/>
        </w:rPr>
        <w:t>Conference Call: 1-844-868-8845 (domestic) or 1-412-317-6591 (international)</w:t>
      </w:r>
    </w:p>
    <w:p>
      <w:pPr>
        <w:spacing w:after="0" w:line="158"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A replay of the webcast will be made available on the Investor Relations page of Shyft’s website after the conclusion of the call. A replay of the conference call will be available for the next week at 1-877-344-7529 (domestic) or 1-412-317-0088 (international) using the replay access code 9591257.</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Advisors</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Deutsche Bank is serving as exclusive financial advisor to Shyft and provided a fairness opinion to the Board of Directors of Shyft. Davis Polk &amp; Wardwell LLP is acting as legal advisor, with Lenz &amp; Staehelin acting as local Swiss counsel. Alantra is serving as exclusive financial advisor to Aebi Schmidt and Wuersch &amp; Gering and Baer &amp; Karrer are acting as legal advisors. UBS and Zürcher Kantonalbank are providing committed debt financing for the transaction.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The Shyft Group</w:t>
      </w:r>
    </w:p>
    <w:p>
      <w:pPr>
        <w:spacing w:after="0" w:line="174"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Shyft Group is a North American leader in specialty vehicle manufacturing, assembly, and upfit for the commercial, retail, and service specialty vehicle markets. The company brings a 50-year legacy serving its customers, which include first-to-last mile delivery companies across vocations, federal, state, and local government entities; the trades; and utility and infrastructure segments. The Shyft Group is organized into two core business units: Shyft Fleet Vehicles and Services™ and Shyft Specialty Vehicles™. Today, its family of brands include Utilimaster®, Blue Arc™ EV Solutions, Royal® Truck Body, DuraMag® and Magnum®, Strobes-R-Us, Spartan® RV Chassis, Red Diamond™ Aftermarket Solutions, Builtmore Contract Manufacturing™, and Independent Truck Upfitters. The Shyft Group and its go-to-market brands are well known in their respective industries for quality, durability, and first-to-market innovation. The Company employs approximately 3,000 employees and contractors across 19 locations, and operates facilities in Arizona, California, Florida, Indiana, Iowa, Maine, Michigan, Missouri, Pennsylvania, Tennessee, Texas, and Saltillo, Mexico. The Company reported sales of $872 million in 2023. Learn more at TheShyftGroup.com. </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the Aebi Schmidt Group</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Aebi Schmidt Group is a world leading provider of smart solutions for clean and safe transportation surfaces and the management of challenging terrain. The group’s unique range of products includes its own vehicles and innovative attachments for custom vehicle equipment. The products, combined with customer-tailored support and service, offer the perfect solution for nearly any challenge. The globally active group is headquartered in Switzerland and achieved net revenue of EUR 935 million in 2023. It employs around 3,000 people in 16 sales organizations and more than a dozen production sites worldwide. Through established partnerships with dealers, the company is represented in 90 additional countries. Its portfolio consists of the product brands Aebi, Schmidt, Nido, Arctic, Monroe, Towmaster, Swenson,</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481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9" w:name="page10"/>
    <w:bookmarkEnd w:id="9"/>
    <w:p>
      <w:pPr>
        <w:ind w:right="860"/>
        <w:spacing w:after="0" w:line="467" w:lineRule="auto"/>
        <w:rPr>
          <w:sz w:val="20"/>
          <w:szCs w:val="20"/>
          <w:color w:val="auto"/>
        </w:rPr>
      </w:pPr>
      <w:r>
        <w:rPr>
          <w:rFonts w:ascii="Arial" w:cs="Arial" w:eastAsia="Arial" w:hAnsi="Arial"/>
          <w:sz w:val="16"/>
          <w:szCs w:val="16"/>
          <w:color w:val="auto"/>
        </w:rPr>
        <w:t xml:space="preserve">Meyer, MB, and ELP – all well-established brands in their respective markets, some for more than 100 years. Learn more at www.aebi-schmidt.com. </w:t>
      </w:r>
      <w:r>
        <w:rPr>
          <w:rFonts w:ascii="Arial" w:cs="Arial" w:eastAsia="Arial" w:hAnsi="Arial"/>
          <w:sz w:val="16"/>
          <w:szCs w:val="16"/>
          <w:b w:val="1"/>
          <w:bCs w:val="1"/>
          <w:u w:val="single" w:color="auto"/>
          <w:color w:val="auto"/>
        </w:rPr>
        <w:t>Forward-Looking Statements</w:t>
      </w:r>
    </w:p>
    <w:p>
      <w:pPr>
        <w:ind w:right="20"/>
        <w:spacing w:after="0" w:line="236" w:lineRule="auto"/>
        <w:rPr>
          <w:sz w:val="20"/>
          <w:szCs w:val="20"/>
          <w:color w:val="auto"/>
        </w:rPr>
      </w:pPr>
      <w:r>
        <w:rPr>
          <w:rFonts w:ascii="Arial" w:cs="Arial" w:eastAsia="Arial" w:hAnsi="Arial"/>
          <w:sz w:val="16"/>
          <w:szCs w:val="16"/>
          <w:color w:val="auto"/>
        </w:rPr>
        <w:t>Certain statements in this press release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spacing w:after="0" w:line="155"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481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0" w:name="page11"/>
    <w:bookmarkEnd w:id="10"/>
    <w:p>
      <w:pPr>
        <w:jc w:val="both"/>
        <w:ind w:right="200"/>
        <w:spacing w:after="0"/>
        <w:rPr>
          <w:sz w:val="20"/>
          <w:szCs w:val="20"/>
          <w:color w:val="auto"/>
        </w:rPr>
      </w:pPr>
      <w:r>
        <w:rPr>
          <w:rFonts w:ascii="Arial" w:cs="Arial" w:eastAsia="Arial" w:hAnsi="Arial"/>
          <w:sz w:val="16"/>
          <w:szCs w:val="16"/>
          <w:color w:val="auto"/>
        </w:rPr>
        <w:t>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will be more fully discussed in the combined proxy statement/prospectus.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press release to conform its prior statements to actual results, revised expectations or to reflect the occurrence of anticipated or unanticipated events.</w:t>
      </w:r>
    </w:p>
    <w:p>
      <w:pPr>
        <w:spacing w:after="0" w:line="152"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Additional information concerning these and other factors that may impact Shyft’s and Aebi Schmidt’s expectations and projections can be found in Shyft’s periodic filings with the SEC, including Shyft’s Annual Report on Form 10-K for the fiscal year ended December 31, 2023, and any subsequent Quarterly Reports on Form 10-Q and Current Reports on Form 8-K. Shyft’s SEC filings are available publicly on the SEC’s website at www.sec.gov.</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74"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(“Securities Act”), or pursuant to an exemption from, or in a transaction not subject to, such registration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6"/>
          <w:szCs w:val="16"/>
          <w:color w:val="auto"/>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(“SEC”), be deemed participants in the solicitation of proxies in connection with the proposed transaction, including a description of their direct or indirect interests in the transaction, by security holdings or otherwise, will be set forth in the combined proxy statement/prospectus and other relevant materials when it is filed with the SEC. Information regarding the directors and executive officers of Shyft is contained in the sections entitled “</w:t>
      </w:r>
      <w:r>
        <w:rPr>
          <w:rFonts w:ascii="Arial" w:cs="Arial" w:eastAsia="Arial" w:hAnsi="Arial"/>
          <w:sz w:val="16"/>
          <w:szCs w:val="16"/>
          <w:i w:val="1"/>
          <w:iCs w:val="1"/>
          <w:color w:val="auto"/>
        </w:rPr>
        <w:t>Election of Directors</w:t>
      </w:r>
      <w:r>
        <w:rPr>
          <w:rFonts w:ascii="Arial" w:cs="Arial" w:eastAsia="Arial" w:hAnsi="Arial"/>
          <w:sz w:val="16"/>
          <w:szCs w:val="16"/>
          <w:color w:val="auto"/>
        </w:rPr>
        <w:t>” and “</w:t>
      </w:r>
      <w:r>
        <w:rPr>
          <w:rFonts w:ascii="Arial" w:cs="Arial" w:eastAsia="Arial" w:hAnsi="Arial"/>
          <w:sz w:val="16"/>
          <w:szCs w:val="16"/>
          <w:i w:val="1"/>
          <w:iCs w:val="1"/>
          <w:color w:val="auto"/>
        </w:rPr>
        <w:t>Ownership of Securities</w:t>
      </w:r>
      <w:r>
        <w:rPr>
          <w:rFonts w:ascii="Arial" w:cs="Arial" w:eastAsia="Arial" w:hAnsi="Arial"/>
          <w:sz w:val="16"/>
          <w:szCs w:val="16"/>
          <w:color w:val="auto"/>
        </w:rPr>
        <w:t>”</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481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20"/>
          </w:cols>
          <w:pgMar w:left="320" w:top="529" w:right="359" w:bottom="1440" w:gutter="0" w:footer="0" w:header="0"/>
        </w:sectPr>
      </w:pPr>
    </w:p>
    <w:bookmarkStart w:id="11" w:name="page12"/>
    <w:bookmarkEnd w:id="11"/>
    <w:p>
      <w:pPr>
        <w:ind w:right="140"/>
        <w:spacing w:after="0" w:line="262" w:lineRule="auto"/>
        <w:rPr>
          <w:sz w:val="20"/>
          <w:szCs w:val="20"/>
          <w:color w:val="auto"/>
        </w:rPr>
      </w:pPr>
      <w:r>
        <w:rPr>
          <w:rFonts w:ascii="Arial" w:cs="Arial" w:eastAsia="Arial" w:hAnsi="Arial"/>
          <w:sz w:val="15"/>
          <w:szCs w:val="15"/>
          <w:color w:val="auto"/>
        </w:rPr>
        <w:t xml:space="preserve">included in Shyft’s proxy statement for the 2024 annual meeting of stockholders, which was filed with the SEC on April 3, 2024 (and which is available at </w:t>
      </w:r>
      <w:r>
        <w:rPr>
          <w:rFonts w:ascii="Arial" w:cs="Arial" w:eastAsia="Arial" w:hAnsi="Arial"/>
          <w:sz w:val="15"/>
          <w:szCs w:val="15"/>
          <w:u w:val="single" w:color="auto"/>
          <w:color w:val="auto"/>
        </w:rPr>
        <w:t>https://www.sec.gov/ix?doc=/Archives/edgar/data/743238/000114036124017592/ny20010675x1_ def14a.htm</w:t>
      </w:r>
      <w:r>
        <w:rPr>
          <w:rFonts w:ascii="Arial" w:cs="Arial" w:eastAsia="Arial" w:hAnsi="Arial"/>
          <w:sz w:val="15"/>
          <w:szCs w:val="15"/>
          <w:color w:val="auto"/>
        </w:rPr>
        <w:t>) and in the section entitled “</w:t>
      </w:r>
      <w:r>
        <w:rPr>
          <w:rFonts w:ascii="Arial" w:cs="Arial" w:eastAsia="Arial" w:hAnsi="Arial"/>
          <w:sz w:val="15"/>
          <w:szCs w:val="15"/>
          <w:i w:val="1"/>
          <w:iCs w:val="1"/>
          <w:color w:val="auto"/>
        </w:rPr>
        <w:t>Directors, 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Officers and Corporate Governance</w:t>
      </w:r>
      <w:r>
        <w:rPr>
          <w:rFonts w:ascii="Arial" w:cs="Arial" w:eastAsia="Arial" w:hAnsi="Arial"/>
          <w:sz w:val="15"/>
          <w:szCs w:val="15"/>
          <w:color w:val="auto"/>
        </w:rPr>
        <w:t>” included in Shyft’s Annual Report on Form 10-K for the year ended December 31, 2023, which was filed with the SEC 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February 22, 2024 (and which is available at </w:t>
      </w:r>
      <w:r>
        <w:rPr>
          <w:rFonts w:ascii="Arial" w:cs="Arial" w:eastAsia="Arial" w:hAnsi="Arial"/>
          <w:sz w:val="15"/>
          <w:szCs w:val="15"/>
          <w:u w:val="single" w:color="auto"/>
          <w:color w:val="auto"/>
        </w:rPr>
        <w:t>https://www.sec.gov/ix?doc=/Archives/edgar/data/743238/000143774924005136/shyf20231231c_10k.htm</w:t>
      </w:r>
      <w:r>
        <w:rPr>
          <w:rFonts w:ascii="Arial" w:cs="Arial" w:eastAsia="Arial" w:hAnsi="Arial"/>
          <w:sz w:val="15"/>
          <w:szCs w:val="15"/>
          <w:color w:val="auto"/>
        </w:rPr>
        <w:t>), and certain of its Current Reports filed on Form 8-K. These documents can be obtained free of charge from the sources indicated below.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7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Aebi Schmidt will file a registration statement on Form S-4 with the SEC in connection with the proposed transaction. The Form S-4 will contain a combined proxy statement/prospectus of Shyft and Aebi Schmidt. Aebi Schmidt and Shyft will prepare and file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WHEN AVAILABLE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www.sec.gov. Copies of documents filed with the SEC by Shyft will be made available free of charge on Shyft’s investor relations website at https://theshyftgroup.com/investor-relations/.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Contacts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Shyft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Media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Sydney Machesky Director, Corporate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Shyft Group</w:t>
      </w:r>
    </w:p>
    <w:p>
      <w:pPr>
        <w:spacing w:after="0" w:line="233" w:lineRule="auto"/>
        <w:rPr>
          <w:sz w:val="20"/>
          <w:szCs w:val="20"/>
          <w:color w:val="auto"/>
        </w:rPr>
      </w:pPr>
      <w:r>
        <w:rPr>
          <w:rFonts w:ascii="Arial" w:cs="Arial" w:eastAsia="Arial" w:hAnsi="Arial"/>
          <w:sz w:val="16"/>
          <w:szCs w:val="16"/>
          <w:color w:val="auto"/>
        </w:rPr>
        <w:t>Sydney.Machesky@theshyftgroup.com</w:t>
      </w:r>
    </w:p>
    <w:p>
      <w:pPr>
        <w:spacing w:after="0"/>
        <w:rPr>
          <w:sz w:val="20"/>
          <w:szCs w:val="20"/>
          <w:color w:val="auto"/>
        </w:rPr>
      </w:pPr>
      <w:r>
        <w:rPr>
          <w:rFonts w:ascii="Arial" w:cs="Arial" w:eastAsia="Arial" w:hAnsi="Arial"/>
          <w:sz w:val="16"/>
          <w:szCs w:val="16"/>
          <w:color w:val="auto"/>
        </w:rPr>
        <w:t>586.413.4112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FGS Global</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Jim Barron/Warren Rizzi</w:t>
      </w:r>
    </w:p>
    <w:p>
      <w:pPr>
        <w:spacing w:after="0"/>
        <w:rPr>
          <w:sz w:val="20"/>
          <w:szCs w:val="20"/>
          <w:color w:val="auto"/>
        </w:rPr>
      </w:pPr>
      <w:r>
        <w:rPr>
          <w:rFonts w:ascii="Arial" w:cs="Arial" w:eastAsia="Arial" w:hAnsi="Arial"/>
          <w:sz w:val="16"/>
          <w:szCs w:val="16"/>
          <w:color w:val="auto"/>
        </w:rPr>
        <w:t>shyft@fgsglobal.com</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481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auto"/>
        </w:rPr>
        <w:t>Investors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Randy Wilson Vice President, Investor Relations and Treasury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Shyft Group</w:t>
      </w:r>
    </w:p>
    <w:p>
      <w:pPr>
        <w:spacing w:after="0" w:line="233" w:lineRule="auto"/>
        <w:rPr>
          <w:sz w:val="20"/>
          <w:szCs w:val="20"/>
          <w:color w:val="auto"/>
        </w:rPr>
      </w:pPr>
      <w:r>
        <w:rPr>
          <w:rFonts w:ascii="Arial" w:cs="Arial" w:eastAsia="Arial" w:hAnsi="Arial"/>
          <w:sz w:val="16"/>
          <w:szCs w:val="16"/>
          <w:color w:val="auto"/>
        </w:rPr>
        <w:t>Randy.Wilson@theshyftgroup.com</w:t>
      </w:r>
    </w:p>
    <w:p>
      <w:pPr>
        <w:spacing w:after="0"/>
        <w:rPr>
          <w:sz w:val="20"/>
          <w:szCs w:val="20"/>
          <w:color w:val="auto"/>
        </w:rPr>
      </w:pPr>
      <w:r>
        <w:rPr>
          <w:rFonts w:ascii="Arial" w:cs="Arial" w:eastAsia="Arial" w:hAnsi="Arial"/>
          <w:sz w:val="16"/>
          <w:szCs w:val="16"/>
          <w:color w:val="auto"/>
        </w:rPr>
        <w:t>248.727.3755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Aebi Schmidt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Media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Thomas Schenkirsch</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Head Group Strategic Development</w:t>
      </w:r>
    </w:p>
    <w:p>
      <w:pPr>
        <w:spacing w:after="0" w:line="233" w:lineRule="auto"/>
        <w:rPr>
          <w:sz w:val="20"/>
          <w:szCs w:val="20"/>
          <w:color w:val="auto"/>
        </w:rPr>
      </w:pPr>
      <w:r>
        <w:rPr>
          <w:rFonts w:ascii="Arial" w:cs="Arial" w:eastAsia="Arial" w:hAnsi="Arial"/>
          <w:sz w:val="16"/>
          <w:szCs w:val="16"/>
          <w:color w:val="auto"/>
        </w:rPr>
        <w:t>Thomas.Schenkirsch@aebi-schmidt.com</w:t>
      </w:r>
    </w:p>
    <w:p>
      <w:pPr>
        <w:spacing w:after="0"/>
        <w:rPr>
          <w:sz w:val="20"/>
          <w:szCs w:val="20"/>
          <w:color w:val="auto"/>
        </w:rPr>
      </w:pPr>
      <w:r>
        <w:rPr>
          <w:rFonts w:ascii="Arial" w:cs="Arial" w:eastAsia="Arial" w:hAnsi="Arial"/>
          <w:sz w:val="16"/>
          <w:szCs w:val="16"/>
          <w:color w:val="auto"/>
        </w:rPr>
        <w:t>Direct Phone: +41 44 308 58 55</w:t>
      </w:r>
    </w:p>
    <w:p>
      <w:pPr>
        <w:spacing w:after="0" w:line="254"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481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0139"/>
          </w:cols>
          <w:pgMar w:left="320" w:top="529" w:right="1440" w:bottom="1440" w:gutter="0" w:footer="0" w:header="0"/>
        </w:sectPr>
      </w:pPr>
    </w:p>
    <w:bookmarkStart w:id="13" w:name="page14"/>
    <w:bookmarkEnd w:id="13"/>
    <w:p>
      <w:pPr>
        <w:ind w:left="924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60325</wp:posOffset>
            </wp:positionV>
            <wp:extent cx="7204075" cy="4267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267835"/>
                    </a:xfrm>
                    <a:prstGeom prst="rect">
                      <a:avLst/>
                    </a:prstGeom>
                    <a:noFill/>
                  </pic:spPr>
                </pic:pic>
              </a:graphicData>
            </a:graphic>
          </wp:anchor>
        </w:drawing>
      </w:r>
    </w:p>
    <w:p>
      <w:pPr>
        <w:sectPr>
          <w:pgSz w:w="11900" w:h="16838" w:orient="portrait"/>
          <w:cols w:equalWidth="0" w:num="1">
            <w:col w:w="10140"/>
          </w:cols>
          <w:pgMar w:left="1440" w:top="170"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93915" cy="431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9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93915" cy="4343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3915" cy="4343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78675" cy="4381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675" cy="4381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204075" cy="431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201535" cy="4191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4191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93915" cy="4290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391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93915" cy="429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391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86295" cy="4312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29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201535" cy="4351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4351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86295" cy="4260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4260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93915" cy="4305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3915"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86295" cy="431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29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93915" cy="4366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3915"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86295" cy="4252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295" cy="4252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86295" cy="4298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2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78675" cy="4305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675"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86295" cy="4320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295"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78675" cy="4305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675"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78675" cy="4373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675" cy="437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201535" cy="4244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4244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93915" cy="422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915" cy="42297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5"/>
      <w:numFmt w:val="bullet"/>
      <w:start w:val="1"/>
    </w:lvl>
  </w:abstractNum>
  <w:abstractNum w:abstractNumId="9">
    <w:nsid w:val="216231B"/>
    <w:multiLevelType w:val="hybridMultilevel"/>
    <w:lvl w:ilvl="0">
      <w:lvlJc w:val="left"/>
      <w:lvlText w:val="6"/>
      <w:numFmt w:val="bullet"/>
      <w:start w:val="1"/>
    </w:lvl>
  </w:abstractNum>
  <w:abstractNum w:abstractNumId="10">
    <w:nsid w:val="1F16E9E8"/>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2024-12-16T05:24:16Z</dcterms:created>
  <dcterms:modified xsi:type="dcterms:W3CDTF">2024-12-16T05:24:16Z</dcterms:modified>
</cp:coreProperties>
</file>