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 Section 13 or 15(d) of</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22, 2024</w:t>
      </w:r>
    </w:p>
    <w:p>
      <w:pPr>
        <w:spacing w:after="0" w:line="19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THE SHYFT GROUP, INC.</w:t>
      </w:r>
    </w:p>
    <w:p>
      <w:pPr>
        <w:spacing w:after="0" w:line="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41"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Michigan</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001-33582</w:t>
      </w:r>
    </w:p>
    <w:p>
      <w:pPr>
        <w:spacing w:after="0" w:line="31"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7"/>
          <w:szCs w:val="17"/>
          <w:color w:val="auto"/>
        </w:rPr>
        <w:t>(Commission File No.)</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38-2078923</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200" w:space="720"/>
            <w:col w:w="2540"/>
          </w:cols>
          <w:pgMar w:left="320" w:top="441" w:right="339" w:bottom="1440" w:gutter="0" w:footer="0" w:header="0"/>
          <w:type w:val="continuous"/>
        </w:sectPr>
      </w:pPr>
    </w:p>
    <w:p>
      <w:pPr>
        <w:spacing w:after="0" w:line="3" w:lineRule="exact"/>
        <w:rPr>
          <w:sz w:val="24"/>
          <w:szCs w:val="24"/>
          <w:color w:val="auto"/>
        </w:rPr>
      </w:pPr>
    </w:p>
    <w:p>
      <w:pPr>
        <w:jc w:val="center"/>
        <w:ind w:left="3000"/>
        <w:spacing w:after="0"/>
        <w:rPr>
          <w:sz w:val="20"/>
          <w:szCs w:val="20"/>
          <w:color w:val="auto"/>
        </w:rPr>
      </w:pPr>
      <w:r>
        <w:rPr>
          <w:rFonts w:ascii="Times New Roman" w:cs="Times New Roman" w:eastAsia="Times New Roman" w:hAnsi="Times New Roman"/>
          <w:sz w:val="18"/>
          <w:szCs w:val="18"/>
          <w:b w:val="1"/>
          <w:bCs w:val="1"/>
          <w:color w:val="auto"/>
        </w:rPr>
        <w:t>41280 Bridge Street, Novi, Michigan</w:t>
      </w:r>
    </w:p>
    <w:p>
      <w:pPr>
        <w:spacing w:after="0" w:line="31" w:lineRule="exact"/>
        <w:rPr>
          <w:sz w:val="24"/>
          <w:szCs w:val="24"/>
          <w:color w:val="auto"/>
        </w:rPr>
      </w:pPr>
    </w:p>
    <w:p>
      <w:pPr>
        <w:jc w:val="center"/>
        <w:ind w:left="30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48375</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240" w:space="720"/>
            <w:col w:w="2280"/>
          </w:cols>
          <w:pgMar w:left="320" w:top="441" w:right="339" w:bottom="1440" w:gutter="0" w:footer="0" w:header="0"/>
          <w:type w:val="continuous"/>
        </w:sectPr>
      </w:pPr>
    </w:p>
    <w:p>
      <w:pPr>
        <w:spacing w:after="0" w:line="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517-543-6400</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441" w:right="339" w:bottom="1440"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Section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509"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3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3"/>
        </w:trPr>
        <w:tc>
          <w:tcPr>
            <w:tcW w:w="33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25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SHYF</w:t>
            </w:r>
          </w:p>
        </w:tc>
        <w:tc>
          <w:tcPr>
            <w:tcW w:w="54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February 22, 2024, The Shyft Group, Inc. (the “Company”) issued a press release announcing its financial results for the quarter and year ended December 31, 2023. A copy of the press release is furnished as Exhibit 99.1 to this report.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in Exhibit 99.1 shall not be deemed “filed” for purposes of Section 18 of the Securities Exchange Act of 1934 or otherwise subject to the liabilities of that section.</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February 22, 2024 regarding the financial results for the quarter and year ended December 31, 2023.</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62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THE SHYFT GROUP, INC.</w:t>
            </w:r>
          </w:p>
        </w:tc>
      </w:tr>
      <w:tr>
        <w:trPr>
          <w:trHeight w:val="64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22, 2024</w:t>
            </w:r>
          </w:p>
        </w:tc>
        <w:tc>
          <w:tcPr>
            <w:tcW w:w="62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Jonathan C. Douyard</w:t>
            </w:r>
          </w:p>
        </w:tc>
      </w:tr>
      <w:tr>
        <w:trPr>
          <w:trHeight w:val="191"/>
        </w:trPr>
        <w:tc>
          <w:tcPr>
            <w:tcW w:w="37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Jonathan C. Douyard</w:t>
            </w:r>
          </w:p>
        </w:tc>
      </w:tr>
      <w:tr>
        <w:trPr>
          <w:trHeight w:val="234"/>
        </w:trPr>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576"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Shyft Group Reports Fourth Quarter and Full-Year 2023 Results</w:t>
      </w:r>
    </w:p>
    <w:p>
      <w:pPr>
        <w:spacing w:after="0" w:line="21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Generated free cash flow of $36 million in the year; improvement of $75 million year-over-year</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Delivered record profitability in Specialty Vehicles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Introduces 2024 outlook with sales of $850 to $900 million and adjusted EBITDA of $40 to $50 million</w:t>
      </w:r>
    </w:p>
    <w:p>
      <w:pPr>
        <w:spacing w:after="0" w:line="20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Novi, Mich., February 22, 2024 </w:t>
      </w:r>
      <w:r>
        <w:rPr>
          <w:rFonts w:ascii="Times New Roman" w:cs="Times New Roman" w:eastAsia="Times New Roman" w:hAnsi="Times New Roman"/>
          <w:sz w:val="18"/>
          <w:szCs w:val="18"/>
          <w:color w:val="auto"/>
        </w:rPr>
        <w:t>– The Shyft Group, Inc. (NASDAQ: SHYF) (“Shyft” or the “Company”), the North American leader in specialty vehicle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assembly and upfit for the commercial, retail and service specialty vehicle markets, today reported operating results for the fourth quarter and full-year ending December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2023 Financial Highlights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fourth quarter of 2023 compared to the fourth quarter of 2022:</w:t>
      </w:r>
    </w:p>
    <w:p>
      <w:pPr>
        <w:spacing w:after="0" w:line="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$202.3 million, a decrease of $99.7 million, or 33.0%, from $302.0 million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$4.4 million, or ($0.13) per share, compared to net income of $17.8 million, or $0.50 per share</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$2.3 million, or 1.1% of sales, a decrease of $28.4 million, from $30.7 million, or 10.2% of sales; Results include $9.3 million of EV program related costs versus $7.6 million in the prior year</w:t>
      </w:r>
    </w:p>
    <w:p>
      <w:pPr>
        <w:ind w:left="340" w:right="28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of $0.9 million, or ($0.03) per share, compared to adjusted net income of $20.5 million, or $0.58 per share in the fourth quarter of 2022</w:t>
      </w:r>
    </w:p>
    <w:p>
      <w:pPr>
        <w:ind w:left="340" w:right="320" w:hanging="332"/>
        <w:spacing w:after="0" w:line="26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backlog of $409.3 million as of December 31, 2023, down $423.4 million, or 50.9%, compared to $832.7 million as of December 31,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Full-Year 2023 Financial Highlights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full-year 2023 compared to the full-year 2022:</w:t>
      </w:r>
    </w:p>
    <w:p>
      <w:pPr>
        <w:spacing w:after="0" w:line="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$872.2 million, a decrease of $155.0 million, or 15.1%, from $1.0 billion</w:t>
      </w:r>
    </w:p>
    <w:p>
      <w:pPr>
        <w:spacing w:after="0" w:line="9" w:lineRule="exact"/>
        <w:rPr>
          <w:rFonts w:ascii="Times New Roman" w:cs="Times New Roman" w:eastAsia="Times New Roman" w:hAnsi="Times New Roman"/>
          <w:sz w:val="18"/>
          <w:szCs w:val="18"/>
          <w:color w:val="auto"/>
        </w:rPr>
      </w:pPr>
    </w:p>
    <w:p>
      <w:pPr>
        <w:ind w:left="340" w:right="1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$6.5 million, or $0.19 per share, compared to $36.6 million, or $1.03 per share; Current year reflects an effective income tax benefit of $5.8 million</w:t>
      </w:r>
    </w:p>
    <w:p>
      <w:pPr>
        <w:ind w:left="340" w:right="1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$40.0 million, or 4.6% of sales, a decrease of $30.8 million, from $70.8 million, or 6.9% of sales; Results include $32.6 million of EV program related costs versus $26.9 million in the prior year</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of $18.7 million, or $0.54 per share, compared to adjusted net income of $44.5 million, or $1.25 per share in 2022</w:t>
      </w:r>
    </w:p>
    <w:p>
      <w:pPr>
        <w:spacing w:after="0" w:line="20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drove positive cash generation by remaining focused on the operational levers within our control,” said John Dunn, President and CEO. “Our Specialty Vehicles business delivered strong overall profitability driven by robust demand for our vocational work trucks. While Fleet Vehicles and Services performance was underwhelming due to lower customer demand, the leadership team is responding with decisive commercial and operational actions to improve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2023 Business Segment Financial Highlights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Fleet Vehicles and Services (FVS)</w:t>
      </w:r>
    </w:p>
    <w:p>
      <w:pPr>
        <w:spacing w:after="0" w:line="9"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were $119.0 million for the fourth quarter of 2023, down 44.1%, or $94.0 million year over year</w:t>
      </w:r>
    </w:p>
    <w:p>
      <w:pPr>
        <w:spacing w:after="0" w:line="9" w:lineRule="exact"/>
        <w:rPr>
          <w:rFonts w:ascii="Times New Roman" w:cs="Times New Roman" w:eastAsia="Times New Roman" w:hAnsi="Times New Roman"/>
          <w:sz w:val="18"/>
          <w:szCs w:val="18"/>
          <w:color w:val="auto"/>
        </w:rPr>
      </w:pPr>
    </w:p>
    <w:p>
      <w:pPr>
        <w:ind w:left="340" w:right="3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for the fourth quarter of 2023 of ($2.6) million, or (2.2)% of sales, a decrease of $30.3 million, from $27.7 million, or 13.0% of sales, a year ago</w:t>
      </w: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backlog was $325.0 million as of December 31, 2023, down 55.9% compared to $736.7 million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Specialty Vehicles (SV)</w:t>
      </w:r>
    </w:p>
    <w:p>
      <w:pPr>
        <w:spacing w:after="0" w:line="31"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were $83.4 million for the fourth quarter of 2023, a decrease of $9.8 million, or 10.6%, from $93.2 million a year ago</w:t>
      </w:r>
    </w:p>
    <w:p>
      <w:pPr>
        <w:spacing w:after="0" w:line="9" w:lineRule="exact"/>
        <w:rPr>
          <w:rFonts w:ascii="Times New Roman" w:cs="Times New Roman" w:eastAsia="Times New Roman" w:hAnsi="Times New Roman"/>
          <w:sz w:val="18"/>
          <w:szCs w:val="18"/>
          <w:color w:val="auto"/>
        </w:rPr>
      </w:pPr>
    </w:p>
    <w:p>
      <w:pPr>
        <w:ind w:left="340" w:right="20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for the fourth quarter of 2023 was $19.0 million, or 22.8% of sales, an increase of $3.1 million, or 19.3%, from $15.9 million, or 17.1% of sales, a year ago</w:t>
      </w: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backlog was $84.3 million as of December 31, 2023, down 12.2% compared to $96.0 million as of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Financial Outlook</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“Looking ahead, the challenging demand environment for parcel and motorhome is expected to continue in the first half of 2024,” said Jon Douyard, Chief Financial Officer. “Our team remains focused on delivering improved financial performance and generating cash flow, while maintaining investment for future growth initiatives, including our Blue Arc EV program.”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Guidance for full-year 2024, notwithstanding further changes in the operating environment, is as follows:</w:t>
      </w:r>
    </w:p>
    <w:p>
      <w:pPr>
        <w:spacing w:after="0" w:line="2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be in the range of $850 million to $900 million; Assumes no Blue Arc EV revenue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$40 to $50 million, including EV spending of $20 to $25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$2.5 to $10.5 million, with an income tax rate of approximately 20%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of $0.07 to $0.30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per share of $0.28 to $0.51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of approximately $20 to 25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$25 to $35 million</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will actively manage and navigate a highly dynamic demand environment in 2024, while getting Blue Arc into production later this year,” said Dunn. “Shyft has a strong core business, and the team is implementing the framework to return the company to historic profitability levels. We are strengthening the leadership team, driving operational execution, and deepening our commercial capabilities to deliver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Shyft Group will host a conference call at 8:30 a.m. ET today to discuss these results and current business trends. The conference call and webcast will be available via: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https://theshyftgroup.com/investor-relations/webcasts/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Call: 1-844-868-8845 (domestic) or 412-317-6591 (international); passcode: 10179224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Shyft Group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Shyft Group is the North American leader in specialty vehicle manufacturing, assembly, and upfit for the commercial, retail, and service specialty vehicle markets. Our customers include first-to-last mile delivery companies across vocations, federal, state, and local government entities; the trades; and utility and infrastructure segments. The Shyft Group is organized into two core business units: Shyft Fleet Vehicles and Services™ and Shyft Specialty Vehicles™. Today, its family of brands include Utilimaster®, Blue Arc™ EV Solutions, Royal® Truck Body, DuraMag® and Magnum®, Strobes-R-Us, Spartan® RV Chassis, Red Diamond™ Aftermarket Solutions, and Builtmore Contract Manufacturing™. The Shyft Group and its go-to-market brands are well known in their respective industries for quality, durability, and first-to-market innovation. The Company employs approximately 3,000 employees and contractors across campuses, and operates facilities in Arizona, California, Florida, Indiana, Maine, Michigan, Missouri, Pennsylvania, Tennessee, Texas, and Saltillo, Mexico. The Company reported sales of $872 million in 2023. Learn more at </w:t>
      </w:r>
      <w:r>
        <w:rPr>
          <w:rFonts w:ascii="Times New Roman" w:cs="Times New Roman" w:eastAsia="Times New Roman" w:hAnsi="Times New Roman"/>
          <w:sz w:val="18"/>
          <w:szCs w:val="18"/>
          <w:u w:val="single" w:color="auto"/>
          <w:color w:val="auto"/>
        </w:rPr>
        <w:t>TheShyftGroup.com</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This release contains information, including our sales and earnings guidance, all other information provided with respect to our outlook for 2024 and future periods, and other statements concerning our business, strategic position, financial projections, financial strength, future plans, objectives, and the performance of our products and operations that may constitute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within the meaning of Section 27A of the Securities Act of 1933, as amended, and Section 21E of the Securities Exchange Act of 1934, as amended. We intend the forward-looking statements to be covered by the safe harbor provisions for forward-looking statements in those sections. Generally, we have identified such forward-looking statements by using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future,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similar expressions or by using future dates in connection with any discussion of, among other things, the construction or operation of new or existing facilities, operating performance, trends, events or developments that we expect or anticipate will occur in the future, statements relating to volume changes, share of sales and earnings per share changes, anticipated cost savings, potential capital and operational cash improvements, changes in supply and demand conditions and prices for our products, trade duties and other aspects of trade policy, statements regarding our future strategies, products and innovations, and statements expressing general views about future operating results. However, the absence of these words or similar expressions does not mean that a statement is not forward-looking. Forward-looking statements are not historical facts, but instead represent only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beliefs regarding future events, many of which, by their nature, are inherently uncertain and outside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control. It is possible that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actual results and financial condition may differ, possibly materially, from the anticipated results and financial condition indicated in these forward-looking statements. Management believes that these forward-looking statements are reasonable as of the time made. However, caution should be taken not to place undue reliance on any such forward-looking statements because such statements speak only as of the date when made. We undertake no obligation to publicly update or revise any forward-looking statements, whether as a result of new information, future events or otherwise, except as required by law. In addition, forward-looking statements are subject to certain risks and uncertainties that could cause actual results to differ materially from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historical experience and our present expectations or projections. In addition, forward-looking statements are subject to certain risks and uncertainties that could cause actual results to differ materially from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historical experience and our present expectations or projections. These risks and uncertainties include, but are not limited to the risks and uncertainties described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Annual Report on Form 10-K for the year ended December 31, 2023, and those described from time to time in our future reports filed with the Securities and Exchange Commission (SEC), which are available at www.sec.gov or our website. All forward-looking statements in this release are qualified by this paragraph. Investors should not place undue reliance on forward-looking statements as a prediction of actual results. We undertake no obligation to publicly update or revise any forward-looking statements in this release, whether as a result of new information, future events, or otherwise.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Sydney Lepora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Sydney.Lepora@theshyftgroup.com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586.413.4112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Randy Wilson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and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Randy.Wilson@theshyftgroup.com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248.727.3755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11,548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less allowance of $276 and $246</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115,742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86,993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100,161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 – chassis pool agreements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19,544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286,928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345,767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70,753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Right of use assets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operating leases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53,386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48,880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49,078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530,049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580,481</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99,855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124,309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warranty</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taxes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14,434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 and accrued expenses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19,452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debt – chassis pool agreements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19,544</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182,831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201,232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operating lease liability</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44,256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 less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277,883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311,787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no par value: 2,000 shares authorized (none issued)</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no par value: 80,000 shares authorized; 34,303 and 35,066 outstanding</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92,982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158,461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Shyft Group, Inc.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252,166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268,593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268,694</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530,049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580,481</w:t>
            </w:r>
          </w:p>
        </w:tc>
      </w:tr>
      <w:tr>
        <w:trPr>
          <w:trHeight w:val="555"/>
        </w:trPr>
        <w:tc>
          <w:tcPr>
            <w:tcW w:w="80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0"/>
                <w:szCs w:val="20"/>
                <w:color w:val="auto"/>
              </w:rPr>
            </w:pPr>
          </w:p>
        </w:tc>
        <w:tc>
          <w:tcPr>
            <w:tcW w:w="232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302,011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872,198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1,027,164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243,723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721,840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846,731</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27,912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58,288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150,358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180,433</w:t>
            </w:r>
          </w:p>
        </w:tc>
      </w:tr>
      <w:tr>
        <w:trPr>
          <w:trHeight w:val="209"/>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25,324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29,155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118,420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107,600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34,938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143,605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132,924</w:t>
            </w:r>
          </w:p>
        </w:tc>
      </w:tr>
      <w:tr>
        <w:trPr>
          <w:trHeight w:val="210"/>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(7,651)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23,350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47,509</w:t>
            </w:r>
          </w:p>
        </w:tc>
      </w:tr>
      <w:tr>
        <w:trPr>
          <w:trHeight w:val="209"/>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(2,833)</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(3,583)</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21,863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43,926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(4,803)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4,022</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7,368</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(4,417)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17,841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36,558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Shyft Group Inc.</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(4,417)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17,841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36,558</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34,298</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35,067</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34,721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35,073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34,298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35,443</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34,861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35,494</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6,464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36,558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stock based compensation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accounts receivable and contract assets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72,857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(93,989)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inventories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(32,977)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accounts payable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41,302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accrued compensation and related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(4,630)</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accrued warranty</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other assets and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15,998</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56,244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(18,843)</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(20,564)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(21,114)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(20,416)</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dividends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(7,148)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(26,789)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and vesting of stock incentive awards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(8,414)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to non-controlling interest owner</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(36,721)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13,649</w:t>
            </w: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(25,610)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37,158</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9,957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11,548</w:t>
            </w:r>
          </w:p>
        </w:tc>
      </w:tr>
      <w:tr>
        <w:trPr>
          <w:trHeight w:val="555"/>
        </w:trPr>
        <w:tc>
          <w:tcPr>
            <w:tcW w:w="80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Sales and Other Financial Information by Business Segment</w:t>
      </w:r>
    </w:p>
    <w:p>
      <w:pPr>
        <w:spacing w:after="0" w:line="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December 31, 2023 (in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Fleet vehicle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Motorhome chassis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specialty vehicles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Aftermarket parts and accessories sales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Sales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Business Segments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40" w:type="dxa"/>
            <w:vAlign w:val="bottom"/>
            <w:gridSpan w:val="3"/>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Fleet Vehicles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40"/>
              <w:spacing w:after="0" w:line="191" w:lineRule="exact"/>
              <w:rPr>
                <w:sz w:val="20"/>
                <w:szCs w:val="20"/>
                <w:color w:val="auto"/>
              </w:rPr>
            </w:pPr>
            <w:r>
              <w:rPr>
                <w:rFonts w:ascii="Times New Roman" w:cs="Times New Roman" w:eastAsia="Times New Roman" w:hAnsi="Times New Roman"/>
                <w:sz w:val="18"/>
                <w:szCs w:val="18"/>
                <w:color w:val="auto"/>
              </w:rPr>
              <w:t>Specialty</w:t>
            </w:r>
          </w:p>
        </w:tc>
        <w:tc>
          <w:tcPr>
            <w:tcW w:w="11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7"/>
              </w:rPr>
              <w:t>Eliminations &amp;</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&amp; Services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191"/>
        </w:trPr>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106,011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32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106,011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26,304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26,304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52,528</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52,525</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12,952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4,541</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17,493</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118,963</w:t>
            </w:r>
          </w:p>
        </w:tc>
        <w:tc>
          <w:tcPr>
            <w:tcW w:w="24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83,373</w:t>
            </w:r>
          </w:p>
        </w:tc>
        <w:tc>
          <w:tcPr>
            <w:tcW w:w="220" w:type="dxa"/>
            <w:vAlign w:val="bottom"/>
            <w:vMerge w:val="continue"/>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160"/>
          </w:cols>
          <w:pgMar w:left="320" w:top="576" w:right="439" w:bottom="1440" w:gutter="0" w:footer="0" w:header="0"/>
          <w:type w:val="continuous"/>
        </w:sectPr>
      </w:pPr>
    </w:p>
    <w:p>
      <w:pPr>
        <w:spacing w:after="0"/>
        <w:tabs>
          <w:tab w:leader="none" w:pos="5960" w:val="left"/>
          <w:tab w:leader="none" w:pos="6620" w:val="left"/>
          <w:tab w:leader="none" w:pos="7340" w:val="left"/>
          <w:tab w:leader="none" w:pos="7980" w:val="left"/>
          <w:tab w:leader="none" w:pos="8680" w:val="left"/>
          <w:tab w:leader="none" w:pos="9240" w:val="left"/>
          <w:tab w:leader="none" w:pos="10000" w:val="left"/>
          <w:tab w:leader="none" w:pos="10700" w:val="left"/>
        </w:tabs>
        <w:rPr>
          <w:sz w:val="20"/>
          <w:szCs w:val="20"/>
          <w:color w:val="auto"/>
        </w:rPr>
      </w:pPr>
      <w:r>
        <w:rPr>
          <w:rFonts w:ascii="Times New Roman" w:cs="Times New Roman" w:eastAsia="Times New Roman" w:hAnsi="Times New Roman"/>
          <w:sz w:val="18"/>
          <w:szCs w:val="18"/>
          <w:color w:val="auto"/>
        </w:rPr>
        <w:t>Adjusted EBITDA</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(2,592)</w:t>
        <w:tab/>
        <w:t>$</w:t>
      </w:r>
      <w:r>
        <w:rPr>
          <w:sz w:val="20"/>
          <w:szCs w:val="20"/>
          <w:color w:val="auto"/>
        </w:rPr>
        <w:tab/>
      </w:r>
      <w:r>
        <w:rPr>
          <w:rFonts w:ascii="Times New Roman" w:cs="Times New Roman" w:eastAsia="Times New Roman" w:hAnsi="Times New Roman"/>
          <w:sz w:val="18"/>
          <w:szCs w:val="18"/>
          <w:color w:val="auto"/>
        </w:rPr>
        <w:t>18,979</w:t>
        <w:tab/>
        <w:t>$</w:t>
      </w:r>
      <w:r>
        <w:rPr>
          <w:sz w:val="20"/>
          <w:szCs w:val="20"/>
          <w:color w:val="auto"/>
        </w:rPr>
        <w:tab/>
      </w:r>
      <w:r>
        <w:rPr>
          <w:rFonts w:ascii="Times New Roman" w:cs="Times New Roman" w:eastAsia="Times New Roman" w:hAnsi="Times New Roman"/>
          <w:sz w:val="18"/>
          <w:szCs w:val="18"/>
          <w:color w:val="auto"/>
        </w:rPr>
        <w:t>(14,062)</w:t>
        <w:tab/>
        <w:t>$</w:t>
      </w:r>
      <w:r>
        <w:rPr>
          <w:sz w:val="20"/>
          <w:szCs w:val="20"/>
          <w:color w:val="auto"/>
        </w:rPr>
        <w:tab/>
      </w:r>
      <w:r>
        <w:rPr>
          <w:rFonts w:ascii="Times New Roman" w:cs="Times New Roman" w:eastAsia="Times New Roman" w:hAnsi="Times New Roman"/>
          <w:sz w:val="18"/>
          <w:szCs w:val="18"/>
          <w:color w:val="auto"/>
        </w:rPr>
        <w:t>2,325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Sales and Other Financial Information by Business Segment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December 31, 2022 (in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Fleet vehicle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Motorhome chassis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specialty vehicles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Aftermarket parts and accessories sales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Sales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Business Segments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200" w:type="dxa"/>
            <w:vAlign w:val="bottom"/>
            <w:gridSpan w:val="4"/>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w w:val="96"/>
              </w:rPr>
              <w:t>Fleet Vehicles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40"/>
              <w:spacing w:after="0" w:line="191" w:lineRule="exact"/>
              <w:rPr>
                <w:sz w:val="20"/>
                <w:szCs w:val="20"/>
                <w:color w:val="auto"/>
              </w:rPr>
            </w:pPr>
            <w:r>
              <w:rPr>
                <w:rFonts w:ascii="Times New Roman" w:cs="Times New Roman" w:eastAsia="Times New Roman" w:hAnsi="Times New Roman"/>
                <w:sz w:val="18"/>
                <w:szCs w:val="18"/>
                <w:color w:val="auto"/>
              </w:rPr>
              <w:t>Specialty</w:t>
            </w:r>
          </w:p>
        </w:tc>
        <w:tc>
          <w:tcPr>
            <w:tcW w:w="11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7"/>
              </w:rPr>
              <w:t>Eliminations &amp;</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20" w:type="dxa"/>
            <w:vAlign w:val="bottom"/>
          </w:tcPr>
          <w:p>
            <w:pPr>
              <w:spacing w:after="0"/>
              <w:rPr>
                <w:sz w:val="20"/>
                <w:szCs w:val="20"/>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&amp; Services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Consolidated</w:t>
            </w:r>
          </w:p>
        </w:tc>
      </w:tr>
      <w:tr>
        <w:trPr>
          <w:trHeight w:val="191"/>
        </w:trPr>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202,257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32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202,257</w:t>
            </w:r>
          </w:p>
        </w:tc>
        <w:tc>
          <w:tcPr>
            <w:tcW w:w="2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37,030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37,030</w:t>
            </w:r>
          </w:p>
        </w:tc>
      </w:tr>
      <w:tr>
        <w:trPr>
          <w:trHeight w:val="216"/>
        </w:trPr>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51,562</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(4,148)</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47,414</w:t>
            </w:r>
          </w:p>
        </w:tc>
      </w:tr>
      <w:tr>
        <w:trPr>
          <w:trHeight w:val="234"/>
        </w:trPr>
        <w:tc>
          <w:tcPr>
            <w:tcW w:w="12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10,658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4,652</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15,310</w:t>
            </w: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212,915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93,244</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302,011</w:t>
            </w:r>
          </w:p>
        </w:tc>
        <w:tc>
          <w:tcPr>
            <w:tcW w:w="2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160"/>
          </w:cols>
          <w:pgMar w:left="320" w:top="576" w:right="439" w:bottom="1440" w:gutter="0" w:footer="0" w:header="0"/>
          <w:type w:val="continuous"/>
        </w:sectPr>
      </w:pPr>
    </w:p>
    <w:p>
      <w:pPr>
        <w:spacing w:after="0"/>
        <w:tabs>
          <w:tab w:leader="none" w:pos="5960" w:val="left"/>
          <w:tab w:leader="none" w:pos="6600" w:val="left"/>
          <w:tab w:leader="none" w:pos="7340" w:val="left"/>
          <w:tab w:leader="none" w:pos="7980" w:val="left"/>
          <w:tab w:leader="none" w:pos="8680" w:val="left"/>
          <w:tab w:leader="none" w:pos="9240" w:val="left"/>
          <w:tab w:leader="none" w:pos="10000" w:val="left"/>
          <w:tab w:leader="none" w:pos="10620" w:val="left"/>
        </w:tabs>
        <w:rPr>
          <w:sz w:val="20"/>
          <w:szCs w:val="20"/>
          <w:color w:val="auto"/>
        </w:rPr>
      </w:pPr>
      <w:r>
        <w:rPr>
          <w:rFonts w:ascii="Times New Roman" w:cs="Times New Roman" w:eastAsia="Times New Roman" w:hAnsi="Times New Roman"/>
          <w:sz w:val="18"/>
          <w:szCs w:val="18"/>
          <w:color w:val="auto"/>
        </w:rPr>
        <w:t>Adjusted EBITDA</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27,704</w:t>
        <w:tab/>
        <w:t>$</w:t>
      </w:r>
      <w:r>
        <w:rPr>
          <w:sz w:val="20"/>
          <w:szCs w:val="20"/>
          <w:color w:val="auto"/>
        </w:rPr>
        <w:tab/>
      </w:r>
      <w:r>
        <w:rPr>
          <w:rFonts w:ascii="Times New Roman" w:cs="Times New Roman" w:eastAsia="Times New Roman" w:hAnsi="Times New Roman"/>
          <w:sz w:val="18"/>
          <w:szCs w:val="18"/>
          <w:color w:val="auto"/>
        </w:rPr>
        <w:t>15,905</w:t>
        <w:tab/>
        <w:t>$</w:t>
      </w:r>
      <w:r>
        <w:rPr>
          <w:sz w:val="20"/>
          <w:szCs w:val="20"/>
          <w:color w:val="auto"/>
        </w:rPr>
        <w:tab/>
      </w:r>
      <w:r>
        <w:rPr>
          <w:rFonts w:ascii="Times New Roman" w:cs="Times New Roman" w:eastAsia="Times New Roman" w:hAnsi="Times New Roman"/>
          <w:sz w:val="18"/>
          <w:szCs w:val="18"/>
          <w:color w:val="auto"/>
        </w:rPr>
        <w:t>(12,924)</w:t>
        <w:tab/>
        <w:t>$</w:t>
      </w:r>
      <w:r>
        <w:rPr>
          <w:sz w:val="20"/>
          <w:szCs w:val="20"/>
          <w:color w:val="auto"/>
        </w:rPr>
        <w:tab/>
      </w:r>
      <w:r>
        <w:rPr>
          <w:rFonts w:ascii="Times New Roman" w:cs="Times New Roman" w:eastAsia="Times New Roman" w:hAnsi="Times New Roman"/>
          <w:sz w:val="18"/>
          <w:szCs w:val="18"/>
          <w:color w:val="auto"/>
        </w:rPr>
        <w:t>30,685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Sales and Other Financial Information by Business Segment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Fleet vehicle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Motorhome chassis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specialty vehicles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Aftermarket parts and accessories sales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2660" w:type="dxa"/>
        <w:tblCellMar>
          <w:top w:w="0" w:type="dxa"/>
          <w:left w:w="0" w:type="dxa"/>
          <w:bottom w:w="0" w:type="dxa"/>
          <w:right w:w="0" w:type="dxa"/>
        </w:tblCellMar>
      </w:tblPr>
      <w:tr>
        <w:trPr>
          <w:trHeight w:val="234"/>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Business Segments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180" w:type="dxa"/>
            <w:vAlign w:val="bottom"/>
            <w:gridSpan w:val="4"/>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6"/>
              </w:rPr>
              <w:t>Fleet Vehicles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40"/>
              <w:spacing w:after="0" w:line="191" w:lineRule="exact"/>
              <w:rPr>
                <w:sz w:val="20"/>
                <w:szCs w:val="20"/>
                <w:color w:val="auto"/>
              </w:rPr>
            </w:pPr>
            <w:r>
              <w:rPr>
                <w:rFonts w:ascii="Times New Roman" w:cs="Times New Roman" w:eastAsia="Times New Roman" w:hAnsi="Times New Roman"/>
                <w:sz w:val="18"/>
                <w:szCs w:val="18"/>
                <w:color w:val="auto"/>
              </w:rPr>
              <w:t>Specialty</w:t>
            </w:r>
          </w:p>
        </w:tc>
        <w:tc>
          <w:tcPr>
            <w:tcW w:w="11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7"/>
              </w:rPr>
              <w:t>Eliminations &amp;</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20" w:type="dxa"/>
            <w:vAlign w:val="bottom"/>
          </w:tcPr>
          <w:p>
            <w:pPr>
              <w:spacing w:after="0"/>
              <w:rPr>
                <w:sz w:val="20"/>
                <w:szCs w:val="20"/>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&amp; Services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Consolidated</w:t>
            </w:r>
          </w:p>
        </w:tc>
      </w:tr>
      <w:tr>
        <w:trPr>
          <w:trHeight w:val="191"/>
        </w:trPr>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487,072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32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487,072</w:t>
            </w:r>
          </w:p>
        </w:tc>
        <w:tc>
          <w:tcPr>
            <w:tcW w:w="2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104,882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104,882</w:t>
            </w:r>
          </w:p>
        </w:tc>
      </w:tr>
      <w:tr>
        <w:trPr>
          <w:trHeight w:val="216"/>
        </w:trPr>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209,434</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(4,183)</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205,251</w:t>
            </w:r>
          </w:p>
        </w:tc>
      </w:tr>
      <w:tr>
        <w:trPr>
          <w:trHeight w:val="234"/>
        </w:trPr>
        <w:tc>
          <w:tcPr>
            <w:tcW w:w="12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54,566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20,427</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74,993</w:t>
            </w:r>
          </w:p>
        </w:tc>
      </w:tr>
      <w:tr>
        <w:trPr>
          <w:trHeight w:val="209"/>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541,638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334,743</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872,198</w:t>
            </w:r>
          </w:p>
        </w:tc>
        <w:tc>
          <w:tcPr>
            <w:tcW w:w="2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30,326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66,186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(56,544)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-993775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-719455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-436245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-136525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4" w:lineRule="exact"/>
        <w:rPr>
          <w:sz w:val="20"/>
          <w:szCs w:val="20"/>
          <w:color w:val="auto"/>
        </w:rPr>
      </w:pPr>
    </w:p>
    <w:p>
      <w:pPr>
        <w:jc w:val="center"/>
        <w:ind w:right="33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The Shyft Group, Inc. and Subsidiaries Sales and Other Financial Information by Business Segment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ectPr>
          <w:pgSz w:w="11900" w:h="16838" w:orient="portrait"/>
          <w:cols w:equalWidth="0" w:num="2">
            <w:col w:w="2840" w:space="480"/>
            <w:col w:w="7920"/>
          </w:cols>
          <w:pgMar w:left="320" w:top="576" w:right="339"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Year Ended December 31, 2022 (in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Fleet vehicle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Motorhome chassis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specialty vehicles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Aftermarket parts and accessories sales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Sales</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Business Segments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180" w:type="dxa"/>
            <w:vAlign w:val="bottom"/>
            <w:gridSpan w:val="4"/>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6"/>
              </w:rPr>
              <w:t>Fleet Vehicles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40"/>
              <w:spacing w:after="0" w:line="191" w:lineRule="exact"/>
              <w:rPr>
                <w:sz w:val="20"/>
                <w:szCs w:val="20"/>
                <w:color w:val="auto"/>
              </w:rPr>
            </w:pPr>
            <w:r>
              <w:rPr>
                <w:rFonts w:ascii="Times New Roman" w:cs="Times New Roman" w:eastAsia="Times New Roman" w:hAnsi="Times New Roman"/>
                <w:sz w:val="18"/>
                <w:szCs w:val="18"/>
                <w:color w:val="auto"/>
              </w:rPr>
              <w:t>Specialty</w:t>
            </w:r>
          </w:p>
        </w:tc>
        <w:tc>
          <w:tcPr>
            <w:tcW w:w="11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7"/>
              </w:rPr>
              <w:t>Eliminations &amp;</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20" w:type="dxa"/>
            <w:vAlign w:val="bottom"/>
          </w:tcPr>
          <w:p>
            <w:pPr>
              <w:spacing w:after="0"/>
              <w:rPr>
                <w:sz w:val="20"/>
                <w:szCs w:val="20"/>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&amp; Services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Consolidated</w:t>
            </w:r>
          </w:p>
        </w:tc>
      </w:tr>
      <w:tr>
        <w:trPr>
          <w:trHeight w:val="191"/>
        </w:trPr>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605,253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605,253</w:t>
            </w:r>
          </w:p>
        </w:tc>
        <w:tc>
          <w:tcPr>
            <w:tcW w:w="2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175,030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175,030</w:t>
            </w:r>
          </w:p>
        </w:tc>
      </w:tr>
      <w:tr>
        <w:trPr>
          <w:trHeight w:val="216"/>
        </w:trPr>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191,882</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(6,483)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185,399</w:t>
            </w:r>
          </w:p>
        </w:tc>
      </w:tr>
      <w:tr>
        <w:trPr>
          <w:trHeight w:val="234"/>
        </w:trPr>
        <w:tc>
          <w:tcPr>
            <w:tcW w:w="12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41,750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19,732</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61,482</w:t>
            </w: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647,003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386,644</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1,027,164</w:t>
            </w:r>
          </w:p>
        </w:tc>
        <w:tc>
          <w:tcPr>
            <w:tcW w:w="2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-161925</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576" w:right="339" w:bottom="1440" w:gutter="0" w:footer="0" w:header="0"/>
          <w:type w:val="continuous"/>
        </w:sectPr>
      </w:pPr>
    </w:p>
    <w:p>
      <w:pPr>
        <w:spacing w:after="0"/>
        <w:tabs>
          <w:tab w:leader="none" w:pos="5960" w:val="left"/>
          <w:tab w:leader="none" w:pos="6600" w:val="left"/>
          <w:tab w:leader="none" w:pos="7340" w:val="left"/>
          <w:tab w:leader="none" w:pos="7980" w:val="left"/>
          <w:tab w:leader="none" w:pos="8680" w:val="left"/>
          <w:tab w:leader="none" w:pos="9240" w:val="left"/>
          <w:tab w:leader="none" w:pos="10000" w:val="left"/>
          <w:tab w:leader="none" w:pos="10620" w:val="left"/>
        </w:tabs>
        <w:rPr>
          <w:sz w:val="20"/>
          <w:szCs w:val="20"/>
          <w:color w:val="auto"/>
        </w:rPr>
      </w:pPr>
      <w:r>
        <w:rPr>
          <w:rFonts w:ascii="Times New Roman" w:cs="Times New Roman" w:eastAsia="Times New Roman" w:hAnsi="Times New Roman"/>
          <w:sz w:val="18"/>
          <w:szCs w:val="18"/>
          <w:color w:val="auto"/>
        </w:rPr>
        <w:t>Adjusted EBITDA</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65,719</w:t>
        <w:tab/>
        <w:t>$</w:t>
      </w:r>
      <w:r>
        <w:rPr>
          <w:sz w:val="20"/>
          <w:szCs w:val="20"/>
          <w:color w:val="auto"/>
        </w:rPr>
        <w:tab/>
      </w:r>
      <w:r>
        <w:rPr>
          <w:rFonts w:ascii="Times New Roman" w:cs="Times New Roman" w:eastAsia="Times New Roman" w:hAnsi="Times New Roman"/>
          <w:sz w:val="18"/>
          <w:szCs w:val="18"/>
          <w:color w:val="auto"/>
        </w:rPr>
        <w:t>54,413</w:t>
        <w:tab/>
        <w:t>$</w:t>
      </w:r>
      <w:r>
        <w:rPr>
          <w:sz w:val="20"/>
          <w:szCs w:val="20"/>
          <w:color w:val="auto"/>
        </w:rPr>
        <w:tab/>
      </w:r>
      <w:r>
        <w:rPr>
          <w:rFonts w:ascii="Times New Roman" w:cs="Times New Roman" w:eastAsia="Times New Roman" w:hAnsi="Times New Roman"/>
          <w:sz w:val="18"/>
          <w:szCs w:val="18"/>
          <w:color w:val="auto"/>
        </w:rPr>
        <w:t>(49,339)</w:t>
        <w:tab/>
        <w:t>$</w:t>
      </w:r>
      <w:r>
        <w:rPr>
          <w:sz w:val="20"/>
          <w:szCs w:val="20"/>
          <w:color w:val="auto"/>
        </w:rPr>
        <w:tab/>
      </w:r>
      <w:r>
        <w:rPr>
          <w:rFonts w:ascii="Times New Roman" w:cs="Times New Roman" w:eastAsia="Times New Roman" w:hAnsi="Times New Roman"/>
          <w:sz w:val="18"/>
          <w:szCs w:val="18"/>
          <w:color w:val="auto"/>
        </w:rPr>
        <w:t>70,793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and Other Financial Information by Business Segment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 End Backlog (amounts 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 31, 2023</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 30, 2023</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Jun. 30, 2023</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9"/>
              </w:rPr>
              <w:t>Mar. 31, 2023</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 31, 2022</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Fleet Vehicles and Services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325,003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383,448</w:t>
            </w: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437,802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584,933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736,690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Specialty Vehicles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72,402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82,478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96,023</w:t>
            </w:r>
          </w:p>
        </w:tc>
      </w:tr>
      <w:tr>
        <w:trPr>
          <w:trHeight w:val="20"/>
        </w:trPr>
        <w:tc>
          <w:tcPr>
            <w:tcW w:w="4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Backlog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409,272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464,431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510,204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667,411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832,713</w:t>
            </w:r>
          </w:p>
        </w:tc>
      </w:tr>
      <w:tr>
        <w:trPr>
          <w:trHeight w:val="568"/>
        </w:trPr>
        <w:tc>
          <w:tcPr>
            <w:tcW w:w="46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Reconciliation of Non-GAAP Financial Measures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release presents Adjusted EBITDA (earnings before interest, taxes, depreciation and amortization), adjusted net income, adjusted earnings per share, and free cash flow each of which is a non-GAAP financial measure.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EBITDA as income before interest, income taxes, depreciation and amortization, as adjusted to eliminate the impact of restructuring charges, acquisition related expenses and adjustments, non-cash stock-based compensation expenses, and other gains and losses not reflective of our ongoing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the non-GAAP measure Adjusted EBITDA because we consider it to be an important supplemental measure of our performance. The presentation of Adjusted EBITDA enables investors to better understand our operations by removing items that we believe are not representative of our continuing operations and may distort our longer-term operating trends. We believe this measure to be useful to improve the comparability of our results from period to period and with our competitors, as well as to show ongoing results from operations distinct from items that are infrequent or not indicative of our continuing operating performance. We believe that presenting this non-GAAP measure is useful to investors because it permits investors to view performance using the same tools that management uses to budget, make operating and strategic decisions, and evaluate our historical performance.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uses Adjusted EBITDA to evaluate the performance of and allocate resources to our segments. Adjusted EBITDA is also used, along with other financial and non-financial measures, for purposes of determining annual incentive compensation for our management team and long-term incentive compensation for certain members of our management team.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free cash flow as Net cash provided by (used in) operating activities less purchases of property, plant and equipment and add proceeds from sale of property, plant and equipment. We believe this measure of free cash flow provides management and investors further useful information on cash generation or use in our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presentation of these non-GAAP measures, when considered together with the corresponding GAAP financial measures and the reconciliations to that measure, provides investors with additional understanding of the factors and trends affecting our business than could be obtained in the absence of this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Summary (Non-GAAP)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8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60" w:type="dxa"/>
            <w:vAlign w:val="bottom"/>
            <w:gridSpan w:val="9"/>
          </w:tcPr>
          <w:p>
            <w:pPr>
              <w:ind w:left="54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Shyft Group, Inc.</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(4,417)</w:t>
            </w: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17,841</w:t>
            </w: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6,464</w:t>
            </w:r>
          </w:p>
        </w:tc>
        <w:tc>
          <w:tcPr>
            <w:tcW w:w="1120" w:type="dxa"/>
            <w:vAlign w:val="bottom"/>
            <w:tcBorders>
              <w:right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36,558</w:t>
            </w:r>
          </w:p>
        </w:tc>
        <w:tc>
          <w:tcPr>
            <w:tcW w:w="11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non-</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Restructuring and other</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related charges</w:t>
            </w: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368</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243</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1,741</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757</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Acquisition related expenses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adjustments</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84</w:t>
            </w:r>
          </w:p>
        </w:tc>
        <w:tc>
          <w:tcPr>
            <w:tcW w:w="68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440</w:t>
            </w:r>
          </w:p>
        </w:tc>
        <w:tc>
          <w:tcPr>
            <w:tcW w:w="82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884</w:t>
            </w: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Non-cash stock-based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2,647</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2,697</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7,834</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7,619</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transition</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w:t>
            </w:r>
          </w:p>
        </w:tc>
        <w:tc>
          <w:tcPr>
            <w:tcW w:w="8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2,629</w:t>
            </w: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Loss from write-off of assets</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1,872</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1,872</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Legacy legal matters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956</w:t>
            </w: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Non-recurring professional</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fees</w:t>
            </w: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288</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adjustments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(1,636)</w:t>
            </w:r>
          </w:p>
        </w:tc>
        <w:tc>
          <w:tcPr>
            <w:tcW w:w="8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(371)</w:t>
            </w:r>
          </w:p>
        </w:tc>
        <w:tc>
          <w:tcPr>
            <w:tcW w:w="6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(3,565)</w:t>
            </w:r>
          </w:p>
        </w:tc>
        <w:tc>
          <w:tcPr>
            <w:tcW w:w="8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(1,348)</w:t>
            </w:r>
          </w:p>
        </w:tc>
        <w:tc>
          <w:tcPr>
            <w:tcW w:w="9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(931)</w:t>
            </w:r>
          </w:p>
        </w:tc>
        <w:tc>
          <w:tcPr>
            <w:tcW w:w="1140" w:type="dxa"/>
            <w:vAlign w:val="bottom"/>
            <w:gridSpan w:val="2"/>
          </w:tcPr>
          <w:p>
            <w:pPr>
              <w:jc w:val="right"/>
              <w:ind w:right="240"/>
              <w:spacing w:after="0" w:line="210" w:lineRule="exact"/>
              <w:rPr>
                <w:sz w:val="20"/>
                <w:szCs w:val="20"/>
                <w:color w:val="auto"/>
              </w:rPr>
            </w:pPr>
            <w:r>
              <w:rPr>
                <w:rFonts w:ascii="Times New Roman" w:cs="Times New Roman" w:eastAsia="Times New Roman" w:hAnsi="Times New Roman"/>
                <w:sz w:val="14"/>
                <w:szCs w:val="14"/>
                <w:b w:val="1"/>
                <w:bCs w:val="1"/>
                <w:color w:val="auto"/>
              </w:rPr>
              <w:t>(0.5%</w:t>
            </w:r>
            <w:r>
              <w:rPr>
                <w:rFonts w:ascii="Times New Roman" w:cs="Times New Roman" w:eastAsia="Times New Roman" w:hAnsi="Times New Roman"/>
                <w:sz w:val="24"/>
                <w:szCs w:val="24"/>
                <w:b w:val="1"/>
                <w:bCs w:val="1"/>
                <w:color w:val="auto"/>
                <w:vertAlign w:val="sub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20,494</w:t>
            </w:r>
          </w:p>
        </w:tc>
        <w:tc>
          <w:tcPr>
            <w:tcW w:w="98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b w:val="1"/>
                <w:bCs w:val="1"/>
                <w:color w:val="auto"/>
              </w:rPr>
              <w:t>6.8</w:t>
            </w:r>
            <w:r>
              <w:rPr>
                <w:rFonts w:ascii="Times New Roman" w:cs="Times New Roman" w:eastAsia="Times New Roman" w:hAnsi="Times New Roman"/>
                <w:sz w:val="24"/>
                <w:szCs w:val="24"/>
                <w:b w:val="1"/>
                <w:bCs w:val="1"/>
                <w:color w:val="auto"/>
                <w:vertAlign w:val="subscript"/>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18,691</w:t>
            </w:r>
          </w:p>
        </w:tc>
        <w:tc>
          <w:tcPr>
            <w:tcW w:w="1120" w:type="dxa"/>
            <w:vAlign w:val="bottom"/>
            <w:gridSpan w:val="2"/>
          </w:tcPr>
          <w:p>
            <w:pPr>
              <w:ind w:left="600"/>
              <w:spacing w:after="0" w:line="210" w:lineRule="exact"/>
              <w:rPr>
                <w:sz w:val="20"/>
                <w:szCs w:val="20"/>
                <w:color w:val="auto"/>
              </w:rPr>
            </w:pPr>
            <w:r>
              <w:rPr>
                <w:rFonts w:ascii="Times New Roman" w:cs="Times New Roman" w:eastAsia="Times New Roman" w:hAnsi="Times New Roman"/>
                <w:sz w:val="14"/>
                <w:szCs w:val="14"/>
                <w:b w:val="1"/>
                <w:bCs w:val="1"/>
                <w:color w:val="auto"/>
              </w:rPr>
              <w:t>2.1</w:t>
            </w:r>
            <w:r>
              <w:rPr>
                <w:rFonts w:ascii="Times New Roman" w:cs="Times New Roman" w:eastAsia="Times New Roman" w:hAnsi="Times New Roman"/>
                <w:sz w:val="24"/>
                <w:szCs w:val="24"/>
                <w:b w:val="1"/>
                <w:bCs w:val="1"/>
                <w:color w:val="auto"/>
                <w:vertAlign w:val="subscript"/>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44,470</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w w:val="98"/>
              </w:rPr>
              <w:t>4.3%</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(4,417)</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17,841</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6,464</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36,558</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non-</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82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4,593</w:t>
            </w:r>
          </w:p>
        </w:tc>
        <w:tc>
          <w:tcPr>
            <w:tcW w:w="84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4,719</w:t>
            </w:r>
          </w:p>
        </w:tc>
        <w:tc>
          <w:tcPr>
            <w:tcW w:w="68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16,953</w:t>
            </w:r>
          </w:p>
        </w:tc>
        <w:tc>
          <w:tcPr>
            <w:tcW w:w="82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14,774</w:t>
            </w: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(4,803)</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4,022</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(5,768)</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7,368</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1,830</w:t>
            </w:r>
          </w:p>
        </w:tc>
        <w:tc>
          <w:tcPr>
            <w:tcW w:w="8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1,079</w:t>
            </w:r>
          </w:p>
        </w:tc>
        <w:tc>
          <w:tcPr>
            <w:tcW w:w="6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6,527</w:t>
            </w:r>
          </w:p>
        </w:tc>
        <w:tc>
          <w:tcPr>
            <w:tcW w:w="8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2,833</w:t>
            </w:r>
          </w:p>
        </w:tc>
        <w:tc>
          <w:tcPr>
            <w:tcW w:w="9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(2,797)</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27,661</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24,208</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61,533</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Restructuring and 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charges</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368</w:t>
            </w:r>
          </w:p>
        </w:tc>
        <w:tc>
          <w:tcPr>
            <w:tcW w:w="84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243</w:t>
            </w:r>
          </w:p>
        </w:tc>
        <w:tc>
          <w:tcPr>
            <w:tcW w:w="68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1,741</w:t>
            </w:r>
          </w:p>
        </w:tc>
        <w:tc>
          <w:tcPr>
            <w:tcW w:w="82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757</w:t>
            </w: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Acquisition related expenses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and adjustments</w:t>
            </w: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84</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440</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Non-cash stock-based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2,647</w:t>
            </w:r>
          </w:p>
        </w:tc>
        <w:tc>
          <w:tcPr>
            <w:tcW w:w="84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2,697</w:t>
            </w:r>
          </w:p>
        </w:tc>
        <w:tc>
          <w:tcPr>
            <w:tcW w:w="68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7,834</w:t>
            </w:r>
          </w:p>
        </w:tc>
        <w:tc>
          <w:tcPr>
            <w:tcW w:w="82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7,619</w:t>
            </w: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CEO transition</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2,629</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write-off of assets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1,872</w:t>
            </w:r>
          </w:p>
        </w:tc>
        <w:tc>
          <w:tcPr>
            <w:tcW w:w="8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1,872</w:t>
            </w: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Legacy legal matters</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956</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Non-recurring professional</w:t>
            </w:r>
          </w:p>
        </w:tc>
        <w:tc>
          <w:tcPr>
            <w:tcW w:w="1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w:t>
            </w: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288</w:t>
            </w:r>
          </w:p>
        </w:tc>
        <w:tc>
          <w:tcPr>
            <w:tcW w:w="8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vMerge w:val="continue"/>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vMerge w:val="continue"/>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vMerge w:val="continue"/>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vMerge w:val="continue"/>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2,325</w:t>
            </w:r>
          </w:p>
        </w:tc>
        <w:tc>
          <w:tcPr>
            <w:tcW w:w="114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b w:val="1"/>
                <w:bCs w:val="1"/>
                <w:color w:val="auto"/>
              </w:rPr>
              <w:t>1.1</w:t>
            </w:r>
            <w:r>
              <w:rPr>
                <w:rFonts w:ascii="Times New Roman" w:cs="Times New Roman" w:eastAsia="Times New Roman" w:hAnsi="Times New Roman"/>
                <w:sz w:val="24"/>
                <w:szCs w:val="24"/>
                <w:b w:val="1"/>
                <w:bCs w:val="1"/>
                <w:color w:val="auto"/>
                <w:vertAlign w:val="sub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30,685</w:t>
            </w:r>
          </w:p>
        </w:tc>
        <w:tc>
          <w:tcPr>
            <w:tcW w:w="98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b w:val="1"/>
                <w:bCs w:val="1"/>
                <w:color w:val="auto"/>
              </w:rPr>
              <w:t>10.2</w:t>
            </w:r>
            <w:r>
              <w:rPr>
                <w:rFonts w:ascii="Times New Roman" w:cs="Times New Roman" w:eastAsia="Times New Roman" w:hAnsi="Times New Roman"/>
                <w:sz w:val="24"/>
                <w:szCs w:val="24"/>
                <w:b w:val="1"/>
                <w:bCs w:val="1"/>
                <w:color w:val="auto"/>
                <w:vertAlign w:val="subscript"/>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39,968</w:t>
            </w:r>
          </w:p>
        </w:tc>
        <w:tc>
          <w:tcPr>
            <w:tcW w:w="1120" w:type="dxa"/>
            <w:vAlign w:val="bottom"/>
            <w:gridSpan w:val="2"/>
          </w:tcPr>
          <w:p>
            <w:pPr>
              <w:ind w:left="600"/>
              <w:spacing w:after="0" w:line="210" w:lineRule="exact"/>
              <w:rPr>
                <w:sz w:val="20"/>
                <w:szCs w:val="20"/>
                <w:color w:val="auto"/>
              </w:rPr>
            </w:pPr>
            <w:r>
              <w:rPr>
                <w:rFonts w:ascii="Times New Roman" w:cs="Times New Roman" w:eastAsia="Times New Roman" w:hAnsi="Times New Roman"/>
                <w:sz w:val="14"/>
                <w:szCs w:val="14"/>
                <w:b w:val="1"/>
                <w:bCs w:val="1"/>
                <w:color w:val="auto"/>
              </w:rPr>
              <w:t>4.6</w:t>
            </w:r>
            <w:r>
              <w:rPr>
                <w:rFonts w:ascii="Times New Roman" w:cs="Times New Roman" w:eastAsia="Times New Roman" w:hAnsi="Times New Roman"/>
                <w:sz w:val="24"/>
                <w:szCs w:val="24"/>
                <w:b w:val="1"/>
                <w:bCs w:val="1"/>
                <w:color w:val="auto"/>
                <w:vertAlign w:val="subscript"/>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70,793</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w w:val="98"/>
              </w:rPr>
              <w:t>6.9%</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Diluted net earnings (loss)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(0.13)</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0.50</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0.19</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Restructuring and other</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related charges</w:t>
            </w: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0.01</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0.05</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Acquisition related expenses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adjustments</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82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Non-cash stock-based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0.08</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0.08</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0.22</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0.21</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transition</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0.08</w:t>
            </w: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Loss from write-off of assets</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0.05</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0.05</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Legacy legal matters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0.03</w:t>
            </w: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Non-recurring professional</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fees</w:t>
            </w: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adjustments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(0.04)</w:t>
            </w:r>
          </w:p>
        </w:tc>
        <w:tc>
          <w:tcPr>
            <w:tcW w:w="8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(0.01)</w:t>
            </w:r>
          </w:p>
        </w:tc>
        <w:tc>
          <w:tcPr>
            <w:tcW w:w="6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2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Adjusted diluted net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(0.03)</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0.58</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0.54</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1.25</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8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46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Summary (Non-GAAP)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Shyft Group, Inc.</w:t>
            </w:r>
          </w:p>
        </w:tc>
        <w:tc>
          <w:tcPr>
            <w:tcW w:w="2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56,244</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(18,843)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(20,733)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(20,564)</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35,630</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(39,259)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Shyft Group, Inc. and Subsidiaries</w:t>
            </w: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040" w:type="dxa"/>
            <w:vAlign w:val="bottom"/>
          </w:tcPr>
          <w:p>
            <w:pPr>
              <w:spacing w:after="0"/>
              <w:rPr>
                <w:sz w:val="24"/>
                <w:szCs w:val="24"/>
                <w:color w:val="auto"/>
              </w:rPr>
            </w:pPr>
          </w:p>
        </w:tc>
        <w:tc>
          <w:tcPr>
            <w:tcW w:w="322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20" w:type="dxa"/>
            <w:vAlign w:val="bottom"/>
            <w:gridSpan w:val="5"/>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rPr>
              <w:t>Consolidated Financial Summary (Non-GAAP)</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40" w:type="dxa"/>
            <w:vAlign w:val="bottom"/>
          </w:tcPr>
          <w:p>
            <w:pPr>
              <w:spacing w:after="0"/>
              <w:rPr>
                <w:sz w:val="19"/>
                <w:szCs w:val="19"/>
                <w:color w:val="auto"/>
              </w:rPr>
            </w:pPr>
          </w:p>
        </w:tc>
        <w:tc>
          <w:tcPr>
            <w:tcW w:w="3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p>
        </w:tc>
        <w:tc>
          <w:tcPr>
            <w:tcW w:w="3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Outlook</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Shyft Group, Inc.</w:t>
            </w:r>
          </w:p>
        </w:tc>
        <w:tc>
          <w:tcPr>
            <w:tcW w:w="22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Low</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Mid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2,479</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6,481</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10,483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2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21,000</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2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2,617</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32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31,100</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36,100</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2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stock-based compensation and other charges</w:t>
            </w:r>
          </w:p>
        </w:tc>
        <w:tc>
          <w:tcPr>
            <w:tcW w:w="2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8,900</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45,000</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2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0.19</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2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stock-based compensation and other charges</w:t>
            </w:r>
          </w:p>
        </w:tc>
        <w:tc>
          <w:tcPr>
            <w:tcW w:w="2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Less: tax effect of adjustments</w:t>
            </w:r>
          </w:p>
        </w:tc>
        <w:tc>
          <w:tcPr>
            <w:tcW w:w="2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32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0.28</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2024-02-22T06:36:22Z</dcterms:created>
  <dcterms:modified xsi:type="dcterms:W3CDTF">2024-02-22T06:36:22Z</dcterms:modified>
</cp:coreProperties>
</file>