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July 1,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No. 333-25357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POST-EFFECTIVE AMENDMENT NO.1 TO FORM S-3 REGISTRATION STATEMENT NO. 333-25357</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Shyft Group,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38-2078923</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22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41280 Bridge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Novi, Michigan 48375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of registrant’s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Jay Goldbaum</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Deputy General Counsel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Novi, MI 48375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(517) 543-6400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3"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 Removal from registration of securities that were not sold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above referenced registration statement.</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Post-Effective Amendment No. 1 relates to the following Registration Statements on Form S-3 (the “Registration Statement”) filed by The Shyft Group, Inc.,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right="4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(No. 333-25357), which was filed on April 17, 1997, in relation to the registration of up to $1,350,000 in aggregate principal amount of the Company’s common stock, par value $0.01 per share (“Common Stock”).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2025, pursuant to the terms of the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December 16, 2024, by and among the Company, Aebi Schmidt Holding AG, a Switzerland Aktiengesellschaft (“</w:t>
      </w:r>
      <w:r>
        <w:rPr>
          <w:rFonts w:ascii="Times New Roman" w:cs="Times New Roman" w:eastAsia="Times New Roman" w:hAnsi="Times New Roman"/>
          <w:sz w:val="18"/>
          <w:szCs w:val="18"/>
          <w:u w:val="single" w:color="auto"/>
          <w:color w:val="auto"/>
        </w:rPr>
        <w:t>Aebi Schmidt</w:t>
      </w:r>
      <w:r>
        <w:rPr>
          <w:rFonts w:ascii="Times New Roman" w:cs="Times New Roman" w:eastAsia="Times New Roman" w:hAnsi="Times New Roman"/>
          <w:sz w:val="18"/>
          <w:szCs w:val="18"/>
          <w:color w:val="auto"/>
        </w:rPr>
        <w:t>”), ASH US Group, LLC, a Delaware limited liability company and direct, wholly owned subsidiary of Aebi Schmidt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and Badger Merger Sub, Inc., a Michigan corporation and direct, wholly owned subsidiary of Holdco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Merger Sub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direct, wholly-owned subsidiary of Holdco and as an indirect, wholly-owned subsidiary of Aebi Schmidt.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consummation of the transactions contemplated by the Merger Agreement, the Company has terminated all offerings of its securities pursuant to the Registration Statement. In accordance with the undertakings made by the Company in the Registration Statement to remove from registration by means of a post-effective amendment any securities that had been registered for issuance but remain unsold at the termination of the offering, the Company hereby terminates the effectiveness of the Registration Statement and removes and withdraws from registration any and all securities registered pursuant to the Registration Statement that remain unsold as of the date hereof. The Registration Statement is hereby amended, as appropriate, to reflect the deregistration of such securities. After giving effect to this Post-Effective Amendment No. 1 to the Registration Statement, there will be no remaining securities registered by the Company pursuant to the Registration Statement.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the Company’s Current Report on Form 8–K filed with the SEC on December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No. 1 to the Registration Statement to be signed on its behalf by the undersigned. No other person is required to sign this Post-Effective Amendment No. 1 to the Registration Statement in reliance on Rule 478 of the Securities Act of 1933, as amended.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Jay Goldbaum</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Jay Goldbaum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Deputy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2025-07-01T07:15:26Z</dcterms:created>
  <dcterms:modified xsi:type="dcterms:W3CDTF">2025-07-01T07:15:26Z</dcterms:modified>
</cp:coreProperties>
</file>