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20,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SHYFT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001-33582</w:t>
            </w: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38-2078923</w:t>
            </w:r>
          </w:p>
        </w:tc>
      </w:tr>
      <w:tr>
        <w:trPr>
          <w:trHeight w:val="216"/>
        </w:trPr>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5280" w:type="dxa"/>
            <w:vAlign w:val="bottom"/>
          </w:tcPr>
          <w:p>
            <w:pPr>
              <w:spacing w:after="0"/>
              <w:rPr>
                <w:sz w:val="20"/>
                <w:szCs w:val="20"/>
                <w:color w:val="auto"/>
              </w:rPr>
            </w:pP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180" w:type="dxa"/>
            <w:vAlign w:val="bottom"/>
          </w:tcPr>
          <w:p>
            <w:pPr>
              <w:spacing w:after="0"/>
              <w:rPr>
                <w:sz w:val="24"/>
                <w:szCs w:val="24"/>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41280 Bridge Street, Novi, Michigan</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48375</w:t>
            </w:r>
          </w:p>
        </w:tc>
      </w:tr>
      <w:tr>
        <w:trPr>
          <w:trHeight w:val="234"/>
        </w:trPr>
        <w:tc>
          <w:tcPr>
            <w:tcW w:w="218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2180" w:type="dxa"/>
            <w:vAlign w:val="bottom"/>
          </w:tcPr>
          <w:p>
            <w:pPr>
              <w:spacing w:after="0"/>
              <w:rPr>
                <w:sz w:val="24"/>
                <w:szCs w:val="24"/>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517-543-6400</w:t>
            </w:r>
          </w:p>
        </w:tc>
        <w:tc>
          <w:tcPr>
            <w:tcW w:w="17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2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2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Section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4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SHYF</w:t>
            </w:r>
          </w:p>
        </w:tc>
        <w:tc>
          <w:tcPr>
            <w:tcW w:w="5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20, 2025, The Shyft Group, Inc. (the “Company”) issued a press release announcing its financial results for the quarter and year ended December 31, 2024. A copy of the press release is furnished as Exhibit 99.1 to this report.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 Exhibit 99.1 shall not be deemed “filed” for purposes of Section 18 of the Securities Exchange Act of 1934 or otherwise subject to the liabilities of that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20, 2025 regarding the financial results for the quarter and year ended December 31, 2024.</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61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THE SHYFT GROUP, INC.</w:t>
            </w:r>
          </w:p>
        </w:tc>
      </w:tr>
      <w:tr>
        <w:trPr>
          <w:trHeight w:val="6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2025</w:t>
            </w:r>
          </w:p>
        </w:tc>
        <w:tc>
          <w:tcPr>
            <w:tcW w:w="61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Scott M. Ocholik</w:t>
            </w:r>
          </w:p>
        </w:tc>
      </w:tr>
      <w:tr>
        <w:trPr>
          <w:trHeight w:val="191"/>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M. Ocholik</w:t>
            </w: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Vice President,</w:t>
            </w:r>
          </w:p>
        </w:tc>
      </w:tr>
      <w:tr>
        <w:trPr>
          <w:trHeight w:val="234"/>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Shyft Group Reports Fourth Quarter and Full-Year 2024 Results</w:t>
      </w: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Delivered double-digit Fleet Vehicles and Services (FVS) margins bolstered by operational improvements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Specialty Vehicles (SV) margins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Successfully shipped Blue Arc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Class 4 EV trucks to FedEx</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Provides full-year 2025 sales outlook of $870 to $970 million, up 17% year-over-year at the midpoint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Entered into transformative merger agreement with Aebi Schmidt; remains on track to close by mid-2025</w:t>
      </w:r>
    </w:p>
    <w:p>
      <w:pPr>
        <w:spacing w:after="0" w:line="2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Novi, Mich., February 20, 2025 </w:t>
      </w:r>
      <w:r>
        <w:rPr>
          <w:rFonts w:ascii="Times New Roman" w:cs="Times New Roman" w:eastAsia="Times New Roman" w:hAnsi="Times New Roman"/>
          <w:sz w:val="18"/>
          <w:szCs w:val="18"/>
          <w:color w:val="auto"/>
        </w:rPr>
        <w:t>– The Shyft Group, Inc. (NASDAQ: SHYF) (“Shyft” or the “Company”), the North American leader in specialty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assembly and upfit for the commercial, retail and service specialty vehicle markets, today reported operating results for the fourth quarter and full-year ended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2024 compared to the fourth quarter of 2023:</w:t>
      </w:r>
    </w:p>
    <w:p>
      <w:pPr>
        <w:spacing w:after="0" w:line="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$201.4 million, a decrease of $0.9 million, or 0.4%, from $202.3 million</w:t>
      </w:r>
    </w:p>
    <w:p>
      <w:pPr>
        <w:spacing w:after="0" w:line="9"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$3.4 million, or ($0.10) per share, compared to a loss of $4.4 million, or ($0.13) per share; 2024 results include $8.5 million of transaction expenses</w:t>
      </w:r>
    </w:p>
    <w:p>
      <w:pPr>
        <w:ind w:left="660" w:right="5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$15.9 million, or 7.9% of sales, an increase of $13.6 million, from $2.3 million, or 1.1% of sales; results include $5.8 million of EV pre-production related costs versus $9.3 million in the prior year</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of $5.0 million, or $0.15 per share, compared to a loss of $0.9 million, or ($0.03) per share</w:t>
      </w:r>
    </w:p>
    <w:p>
      <w:pPr>
        <w:spacing w:after="0" w:line="9" w:lineRule="exact"/>
        <w:rPr>
          <w:rFonts w:ascii="Times New Roman" w:cs="Times New Roman" w:eastAsia="Times New Roman" w:hAnsi="Times New Roman"/>
          <w:sz w:val="18"/>
          <w:szCs w:val="18"/>
          <w:color w:val="auto"/>
        </w:rPr>
      </w:pPr>
    </w:p>
    <w:p>
      <w:pPr>
        <w:ind w:left="660" w:right="20" w:hanging="328"/>
        <w:spacing w:after="0" w:line="19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backlog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$313.2 million as of December 31, 2024, down $96.0 million, or 23.5%, compared to $409.3 million as of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2024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full-year 2024 compared to the full-year 2023:</w:t>
      </w:r>
    </w:p>
    <w:p>
      <w:pPr>
        <w:spacing w:after="0" w:line="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$786.2 million, a decrease of $86.0 million, or 9.9%, from $872.2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$2.8 million, or ($0.08) per share, compared to net income of $6.5 million, or $0.19 per share</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$48.8 million, or 6.2% of sales, an increase of $8.8 million, from $40.0 million, or 4.6% of sales; results include $23.3 million of EV pre-production related costs versus $32.6 million in the prior year</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of $15.0 million, or $0.44 per share, compared to adjusted net income of $18.7 million, or $0.54 per share</w:t>
      </w:r>
    </w:p>
    <w:p>
      <w:pPr>
        <w:spacing w:after="0" w:line="20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disciplined execution of Shyft’s operational framework drove meaningful adjusted EBITDA growth and margin improvement,” said John Dunn, President and CEO. “I am pleased with the team’s relentless focus on operational excellence as SV sustained strong profitability, supported by steady infrastructure demand, while FVS achieved double-digit margins despite a challenging parcel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Outlook</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“Building on our solid results this quarter, we expect continued improvement in our profitability in 2025. Blue Arc EV transitioning into production, together with the anticipated recovery of the parcel market in the second half of the year, are expected to support these improvements,” said Scott Ocholik, Interim Chief Financial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Full-year 2025 outlook, notwithstanding further changes in the operating environment, is as follows:</w:t>
      </w:r>
    </w:p>
    <w:p>
      <w:pPr>
        <w:spacing w:after="0" w:line="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$870 to $970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$62 to $72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 of $0.69 to $0.92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$25 to $30 million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00"/>
        <w:spacing w:after="0" w:line="261" w:lineRule="auto"/>
        <w:rPr>
          <w:sz w:val="20"/>
          <w:szCs w:val="20"/>
          <w:color w:val="auto"/>
        </w:rPr>
      </w:pPr>
      <w:r>
        <w:rPr>
          <w:rFonts w:ascii="Times New Roman" w:cs="Times New Roman" w:eastAsia="Times New Roman" w:hAnsi="Times New Roman"/>
          <w:sz w:val="18"/>
          <w:szCs w:val="18"/>
          <w:color w:val="auto"/>
        </w:rPr>
        <w:t>Dunn concluded, “As we move forward in 2025, our pending merger with Aebi Schmidt is accelerating our strategy, establishing the company as a global leader in specialty vehicles, with the scale and resources delivering growth, enhancing our customer-centric approach, and maximizing value for our shareholders. Our integration efforts are well underway, ensuring a seamless transition that leverages the strengths of both organizations. We are excited to unite our talented teams and build an even stronger platform for long-term success.”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Footnote: 1.) Consolidated backlog does not reflect Blue Arc order activity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Shyft Group will host a conference call at 8:30 a.m. ET today to discuss these results and current business trends. The conference call and webcast will be available via: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u w:val="single" w:color="auto"/>
          <w:color w:val="auto"/>
        </w:rPr>
        <w:t>https://theshyftgroup.com/investor-relations/webcasts/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1-844-868-8845 (domestic) or 412-317-6591 (international)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Shyft Group</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Shyft Group is the North American leader in specialty vehicle manufacturing, assembly, and upfit for the commercial, retail, and service specialty vehicle markets. Our customers include first-to-last mile delivery companies across vocations, federal, state, and local government entities; the trades; and utility and infrastructure segments. The Shyft Group is organized into two core business units: Shyft Fleet Vehicles and Services™ and Shyft Specialty Vehicles™. Today, its family of brands include Utilimaster®, Blue Arc™ EV Solutions, Royal® Truck Body, DuraMag® and Magnum®, Strobes-R-Us, Spartan® RV Chassis, Builtmore Contract Manufacturing™, and Independent Truck Upfitters. The Shyft Group and its go-to-market brands are well known in their respective industries for quality, durability, and first-to-market innovation. The Company employs approximately 2,900 employees and contractors across campuses, and operates facilities in Arizona, California, Florida, Indiana, Iowa, Maine, Michigan, Missouri, Pennsylvania, Tennessee, Texas, and Saltillo, Mexico. The Company reported sales of $786 million in 2024. Learn more at</w:t>
      </w:r>
      <w:r>
        <w:rPr>
          <w:rFonts w:ascii="Times New Roman" w:cs="Times New Roman" w:eastAsia="Times New Roman" w:hAnsi="Times New Roman"/>
          <w:sz w:val="18"/>
          <w:szCs w:val="18"/>
          <w:u w:val="single" w:color="auto"/>
          <w:color w:val="auto"/>
        </w:rPr>
        <w:t> TheShyftGroup.com</w:t>
      </w:r>
      <w:r>
        <w:rPr>
          <w:rFonts w:ascii="Times New Roman" w:cs="Times New Roman" w:eastAsia="Times New Roman" w:hAnsi="Times New Roman"/>
          <w:sz w:val="18"/>
          <w:szCs w:val="18"/>
          <w:color w:val="auto"/>
        </w:rPr>
        <w:t>.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Certain statements in this Current Report on Form 8-K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between Shyft and Aebi Schmidt;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19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will be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communication to conform its prior statements to actual results, revised expectations or to reflect the occurrence of anticipated or unanticipated events.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t>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(“Securities Act”), or pursuant to an exemption from, or in a transaction not subject to, such registration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(“SEC”),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 Information regarding the directors and executive officers of Shyft is contained in the sections entitled “Election of Directors” and “Ownership of Securities” included in Shyft’s proxy statement for the 2024 annual meeting of stockholders, which was filed with the SEC on April 3, 2024 (and which is available at https://www.sec.gov/ix? doc=/Archives/edgar/data/743238/000114036124017592/ny20010675x1_def14a.htm) and in the section entitled “Directors, Executive Officers and Corporate Governance” included in Shyft’s Annual Report on Form 10-K for the year ended December 31, 2024, which was filed with the SEC on February 20, 2025 (and which is available at https://www.sec.gov), and certain of its Current Reports filed on Form 8-K. These documents can be obtained free of charge from the sources indicated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Aebi Schmidt will file a registration statement on Form S-4 with the SEC in connection with the proposed transaction. The Form S-4 will contain a combined proxy statement/prospectus of Shyft and Aebi Schmidt. Aebi Schmidt and Shyft will prepare and file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WHEN AVAILABLE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 Copies of documents filed with the SEC by Shyft will be made available free of charge on Shyft’s investor relations website at https://theshyftgroup.com/investor-relations/.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Machesky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Sydney.Machesky@theshyftgroup.com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586.413.4112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Wilson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Randy.Wilson@theshyftgroup.com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248.727.3755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less allowance of $533 and $276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79,573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50,305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 chassis pool agreements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297,590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286,928</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568,748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530,049</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taxes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 chassis pool agreements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34,496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182,831</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operating lease liability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less current portion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277,883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2,000 shares authorized (none issued)</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 : 80,000 shares authorized; 34,917 and 34,303 outstanding</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93,705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568,748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530,049</w:t>
            </w:r>
          </w:p>
        </w:tc>
      </w:tr>
      <w:tr>
        <w:trPr>
          <w:trHeight w:val="413"/>
        </w:trPr>
        <w:tc>
          <w:tcPr>
            <w:tcW w:w="8000" w:type="dxa"/>
            <w:vAlign w:val="bottom"/>
            <w:tcBorders>
              <w:top w:val="single" w:sz="8" w:color="CCEEFF"/>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3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201,432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202,333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786,176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872,198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158,498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628,986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721,840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42,934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157,190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150,358</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118,420</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35,563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143,605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(3,020)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(7,651)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6,753</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Shyft Group Inc.</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(3,413)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6,496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34,511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34,298</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34,427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34,511</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34,298</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34,427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34,861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receivable and contract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72,857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accrued compensation and related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accrued warranty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other assets and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30,056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56,244</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Proceeds from sale of property, plant and equipment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and vesting of stock incentive awards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 owner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220" w:lineRule="exact"/>
        <w:rPr>
          <w:sz w:val="20"/>
          <w:szCs w:val="20"/>
          <w:color w:val="auto"/>
        </w:rPr>
      </w:pPr>
    </w:p>
    <w:p>
      <w:pPr>
        <w:ind w:right="1100"/>
        <w:spacing w:after="0" w:line="298" w:lineRule="auto"/>
        <w:rPr>
          <w:sz w:val="20"/>
          <w:szCs w:val="20"/>
          <w:color w:val="auto"/>
        </w:rPr>
      </w:pPr>
      <w:r>
        <w:rPr>
          <w:rFonts w:ascii="Times New Roman" w:cs="Times New Roman" w:eastAsia="Times New Roman" w:hAnsi="Times New Roman"/>
          <w:sz w:val="17"/>
          <w:szCs w:val="17"/>
          <w:color w:val="auto"/>
        </w:rPr>
        <w:t>Net increase (decrease) in cash and cash equivalents Cash and cash equivalents at beginning of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24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16"/>
        </w:trPr>
        <w:tc>
          <w:tcPr>
            <w:tcW w:w="4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46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(47,631)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(21,114)</w:t>
            </w:r>
          </w:p>
        </w:tc>
        <w:tc>
          <w:tcPr>
            <w:tcW w:w="60" w:type="dxa"/>
            <w:vAlign w:val="bottom"/>
          </w:tcPr>
          <w:p>
            <w:pPr>
              <w:spacing w:after="0"/>
              <w:rPr>
                <w:sz w:val="18"/>
                <w:szCs w:val="18"/>
                <w:color w:val="auto"/>
              </w:rPr>
            </w:pPr>
          </w:p>
        </w:tc>
      </w:tr>
      <w:tr>
        <w:trPr>
          <w:trHeight w:val="623"/>
        </w:trPr>
        <w:tc>
          <w:tcPr>
            <w:tcW w:w="4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132,500</w:t>
            </w:r>
          </w:p>
        </w:tc>
      </w:tr>
      <w:tr>
        <w:trPr>
          <w:trHeight w:val="216"/>
        </w:trPr>
        <w:tc>
          <w:tcPr>
            <w:tcW w:w="4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(138,500)</w:t>
            </w:r>
          </w:p>
        </w:tc>
      </w:tr>
      <w:tr>
        <w:trPr>
          <w:trHeight w:val="216"/>
        </w:trPr>
        <w:tc>
          <w:tcPr>
            <w:tcW w:w="4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(7,109)</w:t>
            </w:r>
          </w:p>
        </w:tc>
      </w:tr>
      <w:tr>
        <w:trPr>
          <w:trHeight w:val="216"/>
        </w:trPr>
        <w:tc>
          <w:tcPr>
            <w:tcW w:w="4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(19,083)</w:t>
            </w:r>
          </w:p>
        </w:tc>
      </w:tr>
      <w:tr>
        <w:trPr>
          <w:trHeight w:val="216"/>
        </w:trPr>
        <w:tc>
          <w:tcPr>
            <w:tcW w:w="4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34"/>
        </w:trPr>
        <w:tc>
          <w:tcPr>
            <w:tcW w:w="4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(36,721)</w:t>
            </w:r>
          </w:p>
        </w:tc>
        <w:tc>
          <w:tcPr>
            <w:tcW w:w="60" w:type="dxa"/>
            <w:vAlign w:val="bottom"/>
          </w:tcPr>
          <w:p>
            <w:pPr>
              <w:spacing w:after="0"/>
              <w:rPr>
                <w:sz w:val="18"/>
                <w:szCs w:val="18"/>
                <w:color w:val="auto"/>
              </w:rPr>
            </w:pPr>
          </w:p>
        </w:tc>
      </w:tr>
      <w:tr>
        <w:trPr>
          <w:trHeight w:val="407"/>
        </w:trPr>
        <w:tc>
          <w:tcPr>
            <w:tcW w:w="4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34"/>
        </w:trPr>
        <w:tc>
          <w:tcPr>
            <w:tcW w:w="4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11,548</w:t>
            </w:r>
          </w:p>
        </w:tc>
      </w:tr>
      <w:tr>
        <w:trPr>
          <w:trHeight w:val="210"/>
        </w:trPr>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60" w:type="dxa"/>
            <w:vAlign w:val="bottom"/>
          </w:tcPr>
          <w:p>
            <w:pPr>
              <w:spacing w:after="0"/>
              <w:rPr>
                <w:sz w:val="18"/>
                <w:szCs w:val="18"/>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-2399665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-2125345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-1833880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-1559560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-1285240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-1010920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-728345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660"/>
          </w:cols>
          <w:pgMar w:left="320" w:top="576"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2024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&amp; Services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91,843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91,843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14,984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26,769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110,734</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201,432</w:t>
            </w:r>
          </w:p>
        </w:tc>
      </w:tr>
      <w:tr>
        <w:trPr>
          <w:trHeight w:val="210"/>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12,057</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15,944</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2023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&amp; Services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20"/>
                <w:szCs w:val="20"/>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 sales</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106,011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106,011</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26,304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52,528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52,525</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17,493</w:t>
            </w:r>
          </w:p>
        </w:tc>
      </w:tr>
      <w:tr>
        <w:trPr>
          <w:trHeight w:val="20"/>
        </w:trPr>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118,963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83,373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202,333</w:t>
            </w:r>
          </w:p>
        </w:tc>
      </w:tr>
      <w:tr>
        <w:trPr>
          <w:trHeight w:val="209"/>
        </w:trPr>
        <w:tc>
          <w:tcPr>
            <w:tcW w:w="4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18,979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r>
      <w:tr>
        <w:trPr>
          <w:trHeight w:val="648"/>
        </w:trPr>
        <w:tc>
          <w:tcPr>
            <w:tcW w:w="4200" w:type="dxa"/>
            <w:vAlign w:val="bottom"/>
          </w:tcPr>
          <w:p>
            <w:pPr>
              <w:spacing w:after="0"/>
              <w:rPr>
                <w:sz w:val="24"/>
                <w:szCs w:val="24"/>
                <w:color w:val="auto"/>
              </w:rPr>
            </w:pP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&amp; Services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367,338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367,338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75,895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95,731</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434,193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347,888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786,176</w:t>
            </w:r>
          </w:p>
        </w:tc>
      </w:tr>
      <w:tr>
        <w:trPr>
          <w:trHeight w:val="209"/>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31,188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67,290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48,848</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Business Segments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w w:val="96"/>
              </w:rPr>
              <w:t>Fleet Vehicles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Specialty</w:t>
            </w:r>
          </w:p>
        </w:tc>
        <w:tc>
          <w:tcPr>
            <w:tcW w:w="1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Eliminations &amp;</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&amp; Services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Pr>
          <w:p>
            <w:pPr>
              <w:spacing w:after="0"/>
              <w:rPr>
                <w:sz w:val="20"/>
                <w:szCs w:val="20"/>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 sales</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487,072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487,072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Motorhome chassis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104,882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104,882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specialty vehicles sales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205,251</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Aftermarket parts and accessories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74,993</w:t>
            </w:r>
          </w:p>
        </w:tc>
      </w:tr>
      <w:tr>
        <w:trPr>
          <w:trHeight w:val="20"/>
        </w:trPr>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541,638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334,743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872,198</w:t>
            </w:r>
          </w:p>
        </w:tc>
      </w:tr>
      <w:tr>
        <w:trPr>
          <w:trHeight w:val="209"/>
        </w:trPr>
        <w:tc>
          <w:tcPr>
            <w:tcW w:w="42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30,326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66,186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39,968</w:t>
            </w:r>
          </w:p>
        </w:tc>
      </w:tr>
      <w:tr>
        <w:trPr>
          <w:trHeight w:val="648"/>
        </w:trPr>
        <w:tc>
          <w:tcPr>
            <w:tcW w:w="4200" w:type="dxa"/>
            <w:vAlign w:val="bottom"/>
          </w:tcPr>
          <w:p>
            <w:pPr>
              <w:spacing w:after="0"/>
              <w:rPr>
                <w:sz w:val="24"/>
                <w:szCs w:val="24"/>
                <w:color w:val="auto"/>
              </w:rPr>
            </w:pP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End Backlog (amounts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 31, 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Sept. 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 30, 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 31,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 31, 2023</w:t>
            </w:r>
          </w:p>
        </w:tc>
        <w:tc>
          <w:tcPr>
            <w:tcW w:w="100" w:type="dxa"/>
            <w:vAlign w:val="bottom"/>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Fleet Vehicles and Services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244,784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267,952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356,089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Specialty Vehicles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68,460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59,856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84,269</w:t>
            </w:r>
          </w:p>
        </w:tc>
      </w:tr>
      <w:tr>
        <w:trPr>
          <w:trHeight w:val="20"/>
        </w:trPr>
        <w:tc>
          <w:tcPr>
            <w:tcW w:w="2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Backlog</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313,244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354,442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439,423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409,272</w:t>
            </w:r>
          </w:p>
        </w:tc>
      </w:tr>
      <w:tr>
        <w:trPr>
          <w:trHeight w:val="20"/>
        </w:trPr>
        <w:tc>
          <w:tcPr>
            <w:tcW w:w="2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Reconciliation of Non-GAAP Financial Measures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release presents Adjusted EBITDA (earnings before interest, taxes, depreciation and amortization), adjusted net income, adjusted earnings per share, and free cash flow, each of which is a non-GAAP financial measure.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income before interest, income taxes, depreciation and amortization, as adjusted to eliminate the impact of restructuring charges, transaction related expenses and adjustments, non-cash stock-based compensation expenses, and other gains and losses not reflective of our ongoing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purchases of property, plant and equipment and add proceeds from sale of property, plant and equipment. We believe this measure of free cash flow provides management and investors further useful information on cash generation or use in our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provide reconciliations of forward-looking non-GAAP financial measures, such as adjusted EPS, adjusted EBITDA, and free cash flow, to the most comparable GAAP financial measures on a forward-looking basis because the Company is unable to provide a meaningful or accurate calculation or estimation of reconciling items, and the information is not available without unreasonable effort. This is due to the inherent difficulty of forecasting the timing and amount of certain items, such as, but not limited to, transaction and compensation costs related to the proposed transaction with Aebi Schmidt, and other non-routine costs. Each of such adjustments has not yet occurred, are out of the Company's control and/or cannot be reasonably predicted. For the same reasons, the Company is unable to address the probable significance of the unavailable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presentation of these non-GAAP measures,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9"/>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384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(4,417)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related expenses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8,530</w:t>
            </w: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10,154</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4,578</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2,647</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10,250</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7,834</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insurance settlement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(2,887)</w:t>
            </w:r>
          </w:p>
        </w:tc>
        <w:tc>
          <w:tcPr>
            <w:tcW w:w="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(1,636)</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(4,515)</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(3,565)</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5,011</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14,975</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18,691</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2.1%</w:t>
            </w:r>
          </w:p>
        </w:tc>
        <w:tc>
          <w:tcPr>
            <w:tcW w:w="0" w:type="dxa"/>
            <w:vAlign w:val="bottom"/>
          </w:tcPr>
          <w:p>
            <w:pPr>
              <w:spacing w:after="0"/>
              <w:rPr>
                <w:sz w:val="1"/>
                <w:szCs w:val="1"/>
                <w:color w:val="auto"/>
              </w:rPr>
            </w:pPr>
          </w:p>
        </w:tc>
      </w:tr>
      <w:tr>
        <w:trPr>
          <w:trHeight w:val="197"/>
        </w:trPr>
        <w:tc>
          <w:tcPr>
            <w:tcW w:w="3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(4,417)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5,764</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20,252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16,953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(4,803)</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566</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(5,768)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2,342</w:t>
            </w:r>
          </w:p>
        </w:tc>
        <w:tc>
          <w:tcPr>
            <w:tcW w:w="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1,830</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8,540</w:t>
            </w: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6,527</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4,633</w:t>
            </w: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26,563</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24,208</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related expenses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8,530</w:t>
            </w: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10,154</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4,578</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2,647</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10,250</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7,834</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insurance settlement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w:t>
            </w: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15,944</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48,848</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39,968</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4.6%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related expenses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insurance settlement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Legacy legal matters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transition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Loss from write-off of assets</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Adjusted diluted net earnings (loss) per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0.15</w:t>
            </w: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(0.03)</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0.44</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0.54</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 (Non-GAAP)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c>
          <w:tcPr>
            <w:tcW w:w="3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30,056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56,244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(20,733)</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16,490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3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2025-02-20T06:39:55Z</dcterms:created>
  <dcterms:modified xsi:type="dcterms:W3CDTF">2025-02-20T06:39:55Z</dcterms:modified>
</cp:coreProperties>
</file>