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Section 13 or 15(d) of</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11, 2021</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SHYFT GROUP,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3" w:lineRule="exact"/>
        <w:rPr>
          <w:sz w:val="24"/>
          <w:szCs w:val="24"/>
          <w:color w:val="auto"/>
        </w:rPr>
      </w:pPr>
    </w:p>
    <w:tbl>
      <w:tblPr>
        <w:tblLayout w:type="fixed"/>
        <w:tblInd w:w="900" w:type="dxa"/>
        <w:tblCellMar>
          <w:top w:w="0" w:type="dxa"/>
          <w:left w:w="0" w:type="dxa"/>
          <w:bottom w:w="0" w:type="dxa"/>
          <w:right w:w="0" w:type="dxa"/>
        </w:tblCellMar>
      </w:tblPr>
      <w:tr>
        <w:trPr>
          <w:trHeight w:val="217"/>
        </w:trPr>
        <w:tc>
          <w:tcPr>
            <w:tcW w:w="2160" w:type="dxa"/>
            <w:vAlign w:val="bottom"/>
          </w:tcPr>
          <w:p>
            <w:pPr>
              <w:jc w:val="center"/>
              <w:ind w:right="111"/>
              <w:spacing w:after="0"/>
              <w:rPr>
                <w:sz w:val="20"/>
                <w:szCs w:val="20"/>
                <w:color w:val="auto"/>
              </w:rPr>
            </w:pPr>
            <w:r>
              <w:rPr>
                <w:rFonts w:ascii="Arial" w:cs="Arial" w:eastAsia="Arial" w:hAnsi="Arial"/>
                <w:sz w:val="18"/>
                <w:szCs w:val="18"/>
                <w:b w:val="1"/>
                <w:bCs w:val="1"/>
                <w:color w:val="auto"/>
                <w:w w:val="92"/>
              </w:rPr>
              <w:t>Michigan</w:t>
            </w:r>
          </w:p>
        </w:tc>
        <w:tc>
          <w:tcPr>
            <w:tcW w:w="5260" w:type="dxa"/>
            <w:vAlign w:val="bottom"/>
          </w:tcPr>
          <w:p>
            <w:pPr>
              <w:jc w:val="center"/>
              <w:ind w:right="51"/>
              <w:spacing w:after="0"/>
              <w:rPr>
                <w:sz w:val="20"/>
                <w:szCs w:val="20"/>
                <w:color w:val="auto"/>
              </w:rPr>
            </w:pPr>
            <w:r>
              <w:rPr>
                <w:rFonts w:ascii="Arial" w:cs="Arial" w:eastAsia="Arial" w:hAnsi="Arial"/>
                <w:sz w:val="18"/>
                <w:szCs w:val="18"/>
                <w:b w:val="1"/>
                <w:bCs w:val="1"/>
                <w:color w:val="auto"/>
                <w:w w:val="88"/>
              </w:rPr>
              <w:t>001-33582</w:t>
            </w:r>
          </w:p>
        </w:tc>
        <w:tc>
          <w:tcPr>
            <w:tcW w:w="1700" w:type="dxa"/>
            <w:vAlign w:val="bottom"/>
          </w:tcPr>
          <w:p>
            <w:pPr>
              <w:jc w:val="right"/>
              <w:ind w:right="131"/>
              <w:spacing w:after="0"/>
              <w:rPr>
                <w:sz w:val="20"/>
                <w:szCs w:val="20"/>
                <w:color w:val="auto"/>
              </w:rPr>
            </w:pPr>
            <w:r>
              <w:rPr>
                <w:rFonts w:ascii="Arial" w:cs="Arial" w:eastAsia="Arial" w:hAnsi="Arial"/>
                <w:sz w:val="18"/>
                <w:szCs w:val="18"/>
                <w:b w:val="1"/>
                <w:bCs w:val="1"/>
                <w:color w:val="auto"/>
              </w:rPr>
              <w:t>38-2078923</w:t>
            </w:r>
          </w:p>
        </w:tc>
      </w:tr>
      <w:tr>
        <w:trPr>
          <w:trHeight w:val="213"/>
        </w:trPr>
        <w:tc>
          <w:tcPr>
            <w:tcW w:w="2160" w:type="dxa"/>
            <w:vAlign w:val="bottom"/>
          </w:tcPr>
          <w:p>
            <w:pPr>
              <w:jc w:val="center"/>
              <w:ind w:right="131"/>
              <w:spacing w:after="0"/>
              <w:rPr>
                <w:sz w:val="20"/>
                <w:szCs w:val="20"/>
                <w:color w:val="auto"/>
              </w:rPr>
            </w:pPr>
            <w:r>
              <w:rPr>
                <w:rFonts w:ascii="Arial" w:cs="Arial" w:eastAsia="Arial" w:hAnsi="Arial"/>
                <w:sz w:val="18"/>
                <w:szCs w:val="18"/>
                <w:color w:val="auto"/>
                <w:w w:val="90"/>
              </w:rPr>
              <w:t>(State or Other Jurisdiction</w:t>
            </w:r>
          </w:p>
        </w:tc>
        <w:tc>
          <w:tcPr>
            <w:tcW w:w="5260" w:type="dxa"/>
            <w:vAlign w:val="bottom"/>
          </w:tcPr>
          <w:p>
            <w:pPr>
              <w:jc w:val="center"/>
              <w:ind w:right="51"/>
              <w:spacing w:after="0"/>
              <w:rPr>
                <w:sz w:val="20"/>
                <w:szCs w:val="20"/>
                <w:color w:val="auto"/>
              </w:rPr>
            </w:pPr>
            <w:r>
              <w:rPr>
                <w:rFonts w:ascii="Arial" w:cs="Arial" w:eastAsia="Arial" w:hAnsi="Arial"/>
                <w:sz w:val="18"/>
                <w:szCs w:val="18"/>
                <w:color w:val="auto"/>
                <w:w w:val="92"/>
              </w:rPr>
              <w:t>(Commission File No.)</w:t>
            </w:r>
          </w:p>
        </w:tc>
        <w:tc>
          <w:tcPr>
            <w:tcW w:w="1700" w:type="dxa"/>
            <w:vAlign w:val="bottom"/>
          </w:tcPr>
          <w:p>
            <w:pPr>
              <w:jc w:val="center"/>
              <w:ind w:left="291"/>
              <w:spacing w:after="0"/>
              <w:rPr>
                <w:sz w:val="20"/>
                <w:szCs w:val="20"/>
                <w:color w:val="auto"/>
              </w:rPr>
            </w:pPr>
            <w:r>
              <w:rPr>
                <w:rFonts w:ascii="Arial" w:cs="Arial" w:eastAsia="Arial" w:hAnsi="Arial"/>
                <w:sz w:val="18"/>
                <w:szCs w:val="18"/>
                <w:color w:val="auto"/>
                <w:w w:val="92"/>
              </w:rPr>
              <w:t>(IRS Employer</w:t>
            </w:r>
          </w:p>
        </w:tc>
      </w:tr>
      <w:tr>
        <w:trPr>
          <w:trHeight w:val="226"/>
        </w:trPr>
        <w:tc>
          <w:tcPr>
            <w:tcW w:w="2160" w:type="dxa"/>
            <w:vAlign w:val="bottom"/>
          </w:tcPr>
          <w:p>
            <w:pPr>
              <w:jc w:val="center"/>
              <w:ind w:right="131"/>
              <w:spacing w:after="0"/>
              <w:rPr>
                <w:sz w:val="20"/>
                <w:szCs w:val="20"/>
                <w:color w:val="auto"/>
              </w:rPr>
            </w:pPr>
            <w:r>
              <w:rPr>
                <w:rFonts w:ascii="Arial" w:cs="Arial" w:eastAsia="Arial" w:hAnsi="Arial"/>
                <w:sz w:val="18"/>
                <w:szCs w:val="18"/>
                <w:color w:val="auto"/>
                <w:w w:val="93"/>
              </w:rPr>
              <w:t>of Incorporation)</w:t>
            </w:r>
          </w:p>
        </w:tc>
        <w:tc>
          <w:tcPr>
            <w:tcW w:w="5260" w:type="dxa"/>
            <w:vAlign w:val="bottom"/>
          </w:tcPr>
          <w:p>
            <w:pPr>
              <w:spacing w:after="0"/>
              <w:rPr>
                <w:sz w:val="19"/>
                <w:szCs w:val="19"/>
                <w:color w:val="auto"/>
              </w:rPr>
            </w:pPr>
          </w:p>
        </w:tc>
        <w:tc>
          <w:tcPr>
            <w:tcW w:w="1700" w:type="dxa"/>
            <w:vAlign w:val="bottom"/>
          </w:tcPr>
          <w:p>
            <w:pPr>
              <w:jc w:val="center"/>
              <w:ind w:left="291"/>
              <w:spacing w:after="0"/>
              <w:rPr>
                <w:sz w:val="20"/>
                <w:szCs w:val="20"/>
                <w:color w:val="auto"/>
              </w:rPr>
            </w:pPr>
            <w:r>
              <w:rPr>
                <w:rFonts w:ascii="Arial" w:cs="Arial" w:eastAsia="Arial" w:hAnsi="Arial"/>
                <w:sz w:val="18"/>
                <w:szCs w:val="18"/>
                <w:color w:val="auto"/>
                <w:w w:val="94"/>
              </w:rPr>
              <w:t>Identification No.)</w:t>
            </w:r>
          </w:p>
        </w:tc>
      </w:tr>
      <w:tr>
        <w:trPr>
          <w:trHeight w:val="414"/>
        </w:trPr>
        <w:tc>
          <w:tcPr>
            <w:tcW w:w="2160" w:type="dxa"/>
            <w:vAlign w:val="bottom"/>
          </w:tcPr>
          <w:p>
            <w:pPr>
              <w:spacing w:after="0"/>
              <w:rPr>
                <w:sz w:val="24"/>
                <w:szCs w:val="24"/>
                <w:color w:val="auto"/>
              </w:rPr>
            </w:pPr>
          </w:p>
        </w:tc>
        <w:tc>
          <w:tcPr>
            <w:tcW w:w="5260" w:type="dxa"/>
            <w:vAlign w:val="bottom"/>
          </w:tcPr>
          <w:p>
            <w:pPr>
              <w:jc w:val="center"/>
              <w:ind w:right="51"/>
              <w:spacing w:after="0"/>
              <w:rPr>
                <w:sz w:val="20"/>
                <w:szCs w:val="20"/>
                <w:color w:val="auto"/>
              </w:rPr>
            </w:pPr>
            <w:r>
              <w:rPr>
                <w:rFonts w:ascii="Arial" w:cs="Arial" w:eastAsia="Arial" w:hAnsi="Arial"/>
                <w:sz w:val="18"/>
                <w:szCs w:val="18"/>
                <w:b w:val="1"/>
                <w:bCs w:val="1"/>
                <w:color w:val="auto"/>
                <w:w w:val="90"/>
              </w:rPr>
              <w:t>41280 Bridge Street, Novi, Michigan</w:t>
            </w:r>
          </w:p>
        </w:tc>
        <w:tc>
          <w:tcPr>
            <w:tcW w:w="1700" w:type="dxa"/>
            <w:vAlign w:val="bottom"/>
          </w:tcPr>
          <w:p>
            <w:pPr>
              <w:jc w:val="right"/>
              <w:ind w:right="351"/>
              <w:spacing w:after="0"/>
              <w:rPr>
                <w:sz w:val="20"/>
                <w:szCs w:val="20"/>
                <w:color w:val="auto"/>
              </w:rPr>
            </w:pPr>
            <w:r>
              <w:rPr>
                <w:rFonts w:ascii="Arial" w:cs="Arial" w:eastAsia="Arial" w:hAnsi="Arial"/>
                <w:sz w:val="18"/>
                <w:szCs w:val="18"/>
                <w:b w:val="1"/>
                <w:bCs w:val="1"/>
                <w:color w:val="auto"/>
              </w:rPr>
              <w:t>48375</w:t>
            </w:r>
          </w:p>
        </w:tc>
      </w:tr>
      <w:tr>
        <w:trPr>
          <w:trHeight w:val="226"/>
        </w:trPr>
        <w:tc>
          <w:tcPr>
            <w:tcW w:w="2160" w:type="dxa"/>
            <w:vAlign w:val="bottom"/>
          </w:tcPr>
          <w:p>
            <w:pPr>
              <w:spacing w:after="0"/>
              <w:rPr>
                <w:sz w:val="19"/>
                <w:szCs w:val="19"/>
                <w:color w:val="auto"/>
              </w:rPr>
            </w:pPr>
          </w:p>
        </w:tc>
        <w:tc>
          <w:tcPr>
            <w:tcW w:w="5260" w:type="dxa"/>
            <w:vAlign w:val="bottom"/>
          </w:tcPr>
          <w:p>
            <w:pPr>
              <w:jc w:val="center"/>
              <w:ind w:right="71"/>
              <w:spacing w:after="0"/>
              <w:rPr>
                <w:sz w:val="20"/>
                <w:szCs w:val="20"/>
                <w:color w:val="auto"/>
              </w:rPr>
            </w:pPr>
            <w:r>
              <w:rPr>
                <w:rFonts w:ascii="Arial" w:cs="Arial" w:eastAsia="Arial" w:hAnsi="Arial"/>
                <w:sz w:val="18"/>
                <w:szCs w:val="18"/>
                <w:color w:val="auto"/>
                <w:w w:val="91"/>
              </w:rPr>
              <w:t>(Address of Principal Executive Offices)</w:t>
            </w:r>
          </w:p>
        </w:tc>
        <w:tc>
          <w:tcPr>
            <w:tcW w:w="1700" w:type="dxa"/>
            <w:vAlign w:val="bottom"/>
          </w:tcPr>
          <w:p>
            <w:pPr>
              <w:jc w:val="center"/>
              <w:ind w:left="311"/>
              <w:spacing w:after="0"/>
              <w:rPr>
                <w:sz w:val="20"/>
                <w:szCs w:val="20"/>
                <w:color w:val="auto"/>
              </w:rPr>
            </w:pPr>
            <w:r>
              <w:rPr>
                <w:rFonts w:ascii="Arial" w:cs="Arial" w:eastAsia="Arial" w:hAnsi="Arial"/>
                <w:sz w:val="18"/>
                <w:szCs w:val="18"/>
                <w:color w:val="auto"/>
                <w:w w:val="91"/>
              </w:rPr>
              <w:t>(Zip Code)</w:t>
            </w:r>
          </w:p>
        </w:tc>
      </w:tr>
      <w:tr>
        <w:trPr>
          <w:trHeight w:val="414"/>
        </w:trPr>
        <w:tc>
          <w:tcPr>
            <w:tcW w:w="2160" w:type="dxa"/>
            <w:vAlign w:val="bottom"/>
          </w:tcPr>
          <w:p>
            <w:pPr>
              <w:spacing w:after="0"/>
              <w:rPr>
                <w:sz w:val="24"/>
                <w:szCs w:val="24"/>
                <w:color w:val="auto"/>
              </w:rPr>
            </w:pPr>
          </w:p>
        </w:tc>
        <w:tc>
          <w:tcPr>
            <w:tcW w:w="526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517-543-6400</w:t>
            </w:r>
          </w:p>
        </w:tc>
        <w:tc>
          <w:tcPr>
            <w:tcW w:w="1700" w:type="dxa"/>
            <w:vAlign w:val="bottom"/>
          </w:tcPr>
          <w:p>
            <w:pPr>
              <w:spacing w:after="0"/>
              <w:rPr>
                <w:sz w:val="24"/>
                <w:szCs w:val="24"/>
                <w:color w:val="auto"/>
              </w:rPr>
            </w:pPr>
          </w:p>
        </w:tc>
      </w:tr>
      <w:tr>
        <w:trPr>
          <w:trHeight w:val="226"/>
        </w:trPr>
        <w:tc>
          <w:tcPr>
            <w:tcW w:w="2160" w:type="dxa"/>
            <w:vAlign w:val="bottom"/>
          </w:tcPr>
          <w:p>
            <w:pPr>
              <w:spacing w:after="0"/>
              <w:rPr>
                <w:sz w:val="19"/>
                <w:szCs w:val="19"/>
                <w:color w:val="auto"/>
              </w:rPr>
            </w:pPr>
          </w:p>
        </w:tc>
        <w:tc>
          <w:tcPr>
            <w:tcW w:w="5260" w:type="dxa"/>
            <w:vAlign w:val="bottom"/>
          </w:tcPr>
          <w:p>
            <w:pPr>
              <w:jc w:val="center"/>
              <w:ind w:right="31"/>
              <w:spacing w:after="0"/>
              <w:rPr>
                <w:sz w:val="20"/>
                <w:szCs w:val="20"/>
                <w:color w:val="auto"/>
              </w:rPr>
            </w:pPr>
            <w:r>
              <w:rPr>
                <w:rFonts w:ascii="Arial" w:cs="Arial" w:eastAsia="Arial" w:hAnsi="Arial"/>
                <w:sz w:val="18"/>
                <w:szCs w:val="18"/>
                <w:color w:val="auto"/>
                <w:w w:val="89"/>
              </w:rPr>
              <w:t>(Registrant's Telephone Number, Including Area Code)</w:t>
            </w:r>
          </w:p>
        </w:tc>
        <w:tc>
          <w:tcPr>
            <w:tcW w:w="1700" w:type="dxa"/>
            <w:vAlign w:val="bottom"/>
          </w:tcPr>
          <w:p>
            <w:pPr>
              <w:spacing w:after="0"/>
              <w:rPr>
                <w:sz w:val="19"/>
                <w:szCs w:val="19"/>
                <w:color w:val="auto"/>
              </w:rPr>
            </w:pPr>
          </w:p>
        </w:tc>
      </w:tr>
      <w:tr>
        <w:trPr>
          <w:trHeight w:val="414"/>
        </w:trPr>
        <w:tc>
          <w:tcPr>
            <w:tcW w:w="2160" w:type="dxa"/>
            <w:vAlign w:val="bottom"/>
          </w:tcPr>
          <w:p>
            <w:pPr>
              <w:spacing w:after="0"/>
              <w:rPr>
                <w:sz w:val="24"/>
                <w:szCs w:val="24"/>
                <w:color w:val="auto"/>
              </w:rPr>
            </w:pPr>
          </w:p>
        </w:tc>
        <w:tc>
          <w:tcPr>
            <w:tcW w:w="5260" w:type="dxa"/>
            <w:vAlign w:val="bottom"/>
          </w:tcPr>
          <w:p>
            <w:pPr>
              <w:jc w:val="center"/>
              <w:ind w:right="31"/>
              <w:spacing w:after="0"/>
              <w:rPr>
                <w:sz w:val="20"/>
                <w:szCs w:val="20"/>
                <w:color w:val="auto"/>
              </w:rPr>
            </w:pPr>
            <w:r>
              <w:rPr>
                <w:rFonts w:ascii="Arial" w:cs="Arial" w:eastAsia="Arial" w:hAnsi="Arial"/>
                <w:sz w:val="18"/>
                <w:szCs w:val="18"/>
                <w:b w:val="1"/>
                <w:bCs w:val="1"/>
                <w:color w:val="auto"/>
                <w:w w:val="90"/>
              </w:rPr>
              <w:t>Not Applicable</w:t>
            </w:r>
          </w:p>
        </w:tc>
        <w:tc>
          <w:tcPr>
            <w:tcW w:w="1700" w:type="dxa"/>
            <w:vAlign w:val="bottom"/>
          </w:tcPr>
          <w:p>
            <w:pPr>
              <w:spacing w:after="0"/>
              <w:rPr>
                <w:sz w:val="24"/>
                <w:szCs w:val="24"/>
                <w:color w:val="auto"/>
              </w:rPr>
            </w:pPr>
          </w:p>
        </w:tc>
      </w:tr>
      <w:tr>
        <w:trPr>
          <w:trHeight w:val="226"/>
        </w:trPr>
        <w:tc>
          <w:tcPr>
            <w:tcW w:w="2160" w:type="dxa"/>
            <w:vAlign w:val="bottom"/>
          </w:tcPr>
          <w:p>
            <w:pPr>
              <w:spacing w:after="0"/>
              <w:rPr>
                <w:sz w:val="19"/>
                <w:szCs w:val="19"/>
                <w:color w:val="auto"/>
              </w:rPr>
            </w:pPr>
          </w:p>
        </w:tc>
        <w:tc>
          <w:tcPr>
            <w:tcW w:w="5260" w:type="dxa"/>
            <w:vAlign w:val="bottom"/>
          </w:tcPr>
          <w:p>
            <w:pPr>
              <w:jc w:val="center"/>
              <w:ind w:right="31"/>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700" w:type="dxa"/>
            <w:vAlign w:val="bottom"/>
          </w:tcPr>
          <w:p>
            <w:pPr>
              <w:spacing w:after="0"/>
              <w:rPr>
                <w:sz w:val="19"/>
                <w:szCs w:val="19"/>
                <w:color w:val="auto"/>
              </w:rPr>
            </w:pPr>
          </w:p>
        </w:tc>
      </w:tr>
    </w:tbl>
    <w:p>
      <w:pPr>
        <w:spacing w:after="0" w:line="200" w:lineRule="exact"/>
        <w:rPr>
          <w:sz w:val="24"/>
          <w:szCs w:val="24"/>
          <w:color w:val="auto"/>
        </w:rPr>
      </w:pPr>
    </w:p>
    <w:p>
      <w:pPr>
        <w:spacing w:after="0" w:line="214" w:lineRule="exact"/>
        <w:rPr>
          <w:sz w:val="24"/>
          <w:szCs w:val="24"/>
          <w:color w:val="auto"/>
        </w:rPr>
      </w:pPr>
    </w:p>
    <w:p>
      <w:pPr>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480" w:hanging="473"/>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Section Act (17 CFR 230.425)</w:t>
      </w:r>
    </w:p>
    <w:p>
      <w:pPr>
        <w:spacing w:after="0" w:line="22" w:lineRule="exact"/>
        <w:rPr>
          <w:rFonts w:ascii="MS PGothic" w:cs="MS PGothic" w:eastAsia="MS PGothic" w:hAnsi="MS PGothic"/>
          <w:sz w:val="18"/>
          <w:szCs w:val="18"/>
          <w:color w:val="auto"/>
        </w:rPr>
      </w:pPr>
    </w:p>
    <w:p>
      <w:pPr>
        <w:ind w:left="480" w:hanging="473"/>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 w:lineRule="exact"/>
        <w:rPr>
          <w:rFonts w:ascii="MS PGothic" w:cs="MS PGothic" w:eastAsia="MS PGothic" w:hAnsi="MS PGothic"/>
          <w:sz w:val="18"/>
          <w:szCs w:val="18"/>
          <w:color w:val="auto"/>
        </w:rPr>
      </w:pPr>
    </w:p>
    <w:p>
      <w:pPr>
        <w:ind w:left="480" w:hanging="473"/>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 w:lineRule="exact"/>
        <w:rPr>
          <w:rFonts w:ascii="MS PGothic" w:cs="MS PGothic" w:eastAsia="MS PGothic" w:hAnsi="MS PGothic"/>
          <w:sz w:val="18"/>
          <w:szCs w:val="18"/>
          <w:color w:val="auto"/>
        </w:rPr>
      </w:pPr>
    </w:p>
    <w:p>
      <w:pPr>
        <w:ind w:left="480" w:hanging="473"/>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441" w:right="339" w:bottom="1440" w:gutter="0" w:footer="0" w:header="0"/>
        </w:sectPr>
      </w:pPr>
    </w:p>
    <w:p>
      <w:pPr>
        <w:spacing w:after="0" w:line="229" w:lineRule="exact"/>
        <w:rPr>
          <w:sz w:val="24"/>
          <w:szCs w:val="24"/>
          <w:color w:val="auto"/>
        </w:rPr>
      </w:pPr>
    </w:p>
    <w:p>
      <w:pPr>
        <w:jc w:val="center"/>
        <w:ind w:left="620"/>
        <w:spacing w:after="0"/>
        <w:rPr>
          <w:sz w:val="20"/>
          <w:szCs w:val="20"/>
          <w:color w:val="auto"/>
        </w:rPr>
      </w:pPr>
      <w:r>
        <w:rPr>
          <w:rFonts w:ascii="Arial" w:cs="Arial" w:eastAsia="Arial" w:hAnsi="Arial"/>
          <w:sz w:val="18"/>
          <w:szCs w:val="18"/>
          <w:b w:val="1"/>
          <w:bCs w:val="1"/>
          <w:color w:val="auto"/>
        </w:rPr>
        <w:t>Title of each class</w:t>
      </w:r>
    </w:p>
    <w:p>
      <w:pPr>
        <w:spacing w:after="0" w:line="24" w:lineRule="exact"/>
        <w:rPr>
          <w:sz w:val="24"/>
          <w:szCs w:val="24"/>
          <w:color w:val="auto"/>
        </w:rPr>
      </w:pPr>
    </w:p>
    <w:p>
      <w:pPr>
        <w:jc w:val="center"/>
        <w:ind w:left="620"/>
        <w:spacing w:after="0"/>
        <w:rPr>
          <w:sz w:val="20"/>
          <w:szCs w:val="20"/>
          <w:color w:val="auto"/>
        </w:rPr>
      </w:pPr>
      <w:r>
        <w:rPr>
          <w:rFonts w:ascii="Arial" w:cs="Arial" w:eastAsia="Arial" w:hAnsi="Arial"/>
          <w:sz w:val="16"/>
          <w:szCs w:val="16"/>
          <w:color w:val="auto"/>
        </w:rPr>
        <w:t>Common Stock, no par value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28"/>
        </w:trPr>
        <w:tc>
          <w:tcPr>
            <w:tcW w:w="2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5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Name of each exchange on which registered</w:t>
            </w:r>
          </w:p>
        </w:tc>
        <w:tc>
          <w:tcPr>
            <w:tcW w:w="0" w:type="dxa"/>
            <w:vAlign w:val="bottom"/>
          </w:tcPr>
          <w:p>
            <w:pPr>
              <w:spacing w:after="0"/>
              <w:rPr>
                <w:sz w:val="1"/>
                <w:szCs w:val="1"/>
                <w:color w:val="auto"/>
              </w:rPr>
            </w:pPr>
          </w:p>
        </w:tc>
      </w:tr>
      <w:tr>
        <w:trPr>
          <w:trHeight w:val="20"/>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SHYF</w:t>
            </w:r>
          </w:p>
        </w:tc>
        <w:tc>
          <w:tcPr>
            <w:tcW w:w="5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NASDAQ Global Select Market</w:t>
            </w:r>
          </w:p>
        </w:tc>
        <w:tc>
          <w:tcPr>
            <w:tcW w:w="0" w:type="dxa"/>
            <w:vAlign w:val="bottom"/>
          </w:tcPr>
          <w:p>
            <w:pPr>
              <w:spacing w:after="0" w:line="20" w:lineRule="exact"/>
              <w:rPr>
                <w:sz w:val="1"/>
                <w:szCs w:val="1"/>
                <w:color w:val="auto"/>
              </w:rPr>
            </w:pPr>
          </w:p>
        </w:tc>
      </w:tr>
      <w:tr>
        <w:trPr>
          <w:trHeight w:val="202"/>
        </w:trPr>
        <w:tc>
          <w:tcPr>
            <w:tcW w:w="2560" w:type="dxa"/>
            <w:vAlign w:val="bottom"/>
            <w:tcBorders>
              <w:left w:val="single" w:sz="8" w:color="auto"/>
              <w:right w:val="single" w:sz="8" w:color="auto"/>
            </w:tcBorders>
            <w:vMerge w:val="continue"/>
          </w:tcPr>
          <w:p>
            <w:pPr>
              <w:spacing w:after="0"/>
              <w:rPr>
                <w:sz w:val="17"/>
                <w:szCs w:val="17"/>
                <w:color w:val="auto"/>
              </w:rPr>
            </w:pPr>
          </w:p>
        </w:tc>
        <w:tc>
          <w:tcPr>
            <w:tcW w:w="54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-2080260</wp:posOffset>
            </wp:positionH>
            <wp:positionV relativeFrom="paragraph">
              <wp:posOffset>-297815</wp:posOffset>
            </wp:positionV>
            <wp:extent cx="7136130" cy="298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298450"/>
                    </a:xfrm>
                    <a:prstGeom prst="rect">
                      <a:avLst/>
                    </a:prstGeom>
                    <a:noFill/>
                  </pic:spPr>
                </pic:pic>
              </a:graphicData>
            </a:graphic>
          </wp:anchor>
        </w:drawing>
      </w:r>
    </w:p>
    <w:p>
      <w:pPr>
        <w:spacing w:after="0" w:line="199" w:lineRule="exact"/>
        <w:rPr>
          <w:sz w:val="24"/>
          <w:szCs w:val="24"/>
          <w:color w:val="auto"/>
        </w:rPr>
      </w:pPr>
    </w:p>
    <w:p>
      <w:pPr>
        <w:sectPr>
          <w:pgSz w:w="11900" w:h="16838" w:orient="portrait"/>
          <w:cols w:equalWidth="0" w:num="2">
            <w:col w:w="2700" w:space="580"/>
            <w:col w:w="7960"/>
          </w:cols>
          <w:pgMar w:left="320" w:top="441" w:right="339" w:bottom="1440" w:gutter="0" w:footer="0" w:header="0"/>
          <w:type w:val="continuous"/>
        </w:sectPr>
      </w:pPr>
    </w:p>
    <w:p>
      <w:pPr>
        <w:ind w:right="20"/>
        <w:spacing w:after="0" w:line="230"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344805</wp:posOffset>
            </wp:positionV>
            <wp:extent cx="71342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spacing w:after="0"/>
        <w:tabs>
          <w:tab w:leader="none" w:pos="9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March 11, 2021, The Shyft Group, Inc. issued a press release announcing its financial results for the quarter and year ended December 31, 2020, along with an accompanying investor presentation. Copies of the press release and investor presentation are attached to this Current Report as Exhibits 99.1 and 99.2.</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information in this Item 2.02 and the attached Exhibits 99.1 and 99.2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8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0" w:lineRule="exact"/>
        <w:rPr>
          <w:sz w:val="20"/>
          <w:szCs w:val="20"/>
          <w:color w:val="auto"/>
        </w:rPr>
      </w:pPr>
    </w:p>
    <w:p>
      <w:pPr>
        <w:spacing w:after="0"/>
        <w:tabs>
          <w:tab w:leader="none" w:pos="520" w:val="left"/>
        </w:tabs>
        <w:rPr>
          <w:rFonts w:ascii="Arial" w:cs="Arial" w:eastAsia="Arial" w:hAnsi="Arial"/>
          <w:sz w:val="14"/>
          <w:szCs w:val="14"/>
          <w:u w:val="single" w:color="auto"/>
          <w:color w:val="0000EE"/>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4"/>
            <w:szCs w:val="14"/>
            <w:u w:val="single" w:color="auto"/>
            <w:color w:val="0000EE"/>
          </w:rPr>
          <w:t>Press Release dated March 11, 2021 regarding the financial results for the quarter and year ended December 31, 2020.</w:t>
        </w:r>
      </w:hyperlink>
    </w:p>
    <w:p>
      <w:pPr>
        <w:spacing w:after="0" w:line="220" w:lineRule="exact"/>
        <w:rPr>
          <w:sz w:val="20"/>
          <w:szCs w:val="20"/>
          <w:color w:val="auto"/>
        </w:rPr>
      </w:pPr>
    </w:p>
    <w:p>
      <w:pPr>
        <w:spacing w:after="0"/>
        <w:tabs>
          <w:tab w:leader="none" w:pos="520" w:val="left"/>
        </w:tabs>
        <w:rPr>
          <w:rFonts w:ascii="Arial" w:cs="Arial" w:eastAsia="Arial" w:hAnsi="Arial"/>
          <w:sz w:val="14"/>
          <w:szCs w:val="14"/>
          <w:u w:val="single" w:color="auto"/>
          <w:color w:val="0000EE"/>
        </w:rPr>
      </w:pPr>
      <w:r>
        <w:rPr>
          <w:rFonts w:ascii="Arial" w:cs="Arial" w:eastAsia="Arial" w:hAnsi="Arial"/>
          <w:sz w:val="18"/>
          <w:szCs w:val="18"/>
          <w:color w:val="auto"/>
        </w:rPr>
        <w:t>99.2</w:t>
      </w:r>
      <w:r>
        <w:rPr>
          <w:sz w:val="20"/>
          <w:szCs w:val="20"/>
          <w:color w:val="auto"/>
        </w:rPr>
        <w:tab/>
      </w:r>
      <w:hyperlink w:anchor="page12">
        <w:r>
          <w:rPr>
            <w:rFonts w:ascii="Arial" w:cs="Arial" w:eastAsia="Arial" w:hAnsi="Arial"/>
            <w:sz w:val="14"/>
            <w:szCs w:val="14"/>
            <w:u w:val="single" w:color="auto"/>
            <w:color w:val="0000EE"/>
          </w:rPr>
          <w:t>Investor presentation dated March 11, 2021 regarding the financial results for the quarter and year ended December 31, 2020.</w:t>
        </w:r>
      </w:hyperlink>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00" w:type="dxa"/>
            <w:vAlign w:val="bottom"/>
          </w:tcPr>
          <w:p>
            <w:pPr>
              <w:spacing w:after="0"/>
              <w:rPr>
                <w:sz w:val="19"/>
                <w:szCs w:val="19"/>
                <w:color w:val="auto"/>
              </w:rPr>
            </w:pPr>
          </w:p>
        </w:tc>
        <w:tc>
          <w:tcPr>
            <w:tcW w:w="6300" w:type="dxa"/>
            <w:vAlign w:val="bottom"/>
            <w:gridSpan w:val="2"/>
          </w:tcPr>
          <w:p>
            <w:pPr>
              <w:ind w:left="1960"/>
              <w:spacing w:after="0"/>
              <w:rPr>
                <w:sz w:val="20"/>
                <w:szCs w:val="20"/>
                <w:color w:val="auto"/>
              </w:rPr>
            </w:pPr>
            <w:r>
              <w:rPr>
                <w:rFonts w:ascii="Arial" w:cs="Arial" w:eastAsia="Arial" w:hAnsi="Arial"/>
                <w:sz w:val="18"/>
                <w:szCs w:val="18"/>
                <w:color w:val="auto"/>
              </w:rPr>
              <w:t>THE SHYFT GROUP, INC.</w:t>
            </w:r>
          </w:p>
        </w:tc>
      </w:tr>
      <w:tr>
        <w:trPr>
          <w:trHeight w:val="641"/>
        </w:trPr>
        <w:tc>
          <w:tcPr>
            <w:tcW w:w="3600" w:type="dxa"/>
            <w:vAlign w:val="bottom"/>
          </w:tcPr>
          <w:p>
            <w:pPr>
              <w:spacing w:after="0"/>
              <w:rPr>
                <w:sz w:val="20"/>
                <w:szCs w:val="20"/>
                <w:color w:val="auto"/>
              </w:rPr>
            </w:pPr>
            <w:r>
              <w:rPr>
                <w:rFonts w:ascii="Arial" w:cs="Arial" w:eastAsia="Arial" w:hAnsi="Arial"/>
                <w:sz w:val="18"/>
                <w:szCs w:val="18"/>
                <w:color w:val="auto"/>
              </w:rPr>
              <w:t>Dated: March 11, 2021</w:t>
            </w:r>
          </w:p>
        </w:tc>
        <w:tc>
          <w:tcPr>
            <w:tcW w:w="6300" w:type="dxa"/>
            <w:vAlign w:val="bottom"/>
            <w:gridSpan w:val="2"/>
          </w:tcPr>
          <w:p>
            <w:pPr>
              <w:ind w:left="1960"/>
              <w:spacing w:after="0"/>
              <w:rPr>
                <w:sz w:val="20"/>
                <w:szCs w:val="20"/>
                <w:color w:val="auto"/>
              </w:rPr>
            </w:pPr>
            <w:r>
              <w:rPr>
                <w:rFonts w:ascii="Arial" w:cs="Arial" w:eastAsia="Arial" w:hAnsi="Arial"/>
                <w:sz w:val="18"/>
                <w:szCs w:val="18"/>
                <w:color w:val="auto"/>
              </w:rPr>
              <w:t>By:  /s/ Jonathan C. Douyard</w:t>
            </w:r>
          </w:p>
        </w:tc>
      </w:tr>
      <w:tr>
        <w:trPr>
          <w:trHeight w:val="193"/>
        </w:trPr>
        <w:tc>
          <w:tcPr>
            <w:tcW w:w="36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0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Jonathan C. Douyard</w:t>
            </w:r>
          </w:p>
        </w:tc>
      </w:tr>
      <w:tr>
        <w:trPr>
          <w:trHeight w:val="226"/>
        </w:trPr>
        <w:tc>
          <w:tcPr>
            <w:tcW w:w="36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575"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2516505" cy="262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6505" cy="262890"/>
                    </a:xfrm>
                    <a:prstGeom prst="rect">
                      <a:avLst/>
                    </a:prstGeom>
                    <a:noFill/>
                  </pic:spPr>
                </pic:pic>
              </a:graphicData>
            </a:graphic>
          </wp:anchor>
        </w:drawing>
        <w:drawing>
          <wp:anchor simplePos="0" relativeHeight="251657728" behindDoc="1" locked="0" layoutInCell="0" allowOverlap="1">
            <wp:simplePos x="0" y="0"/>
            <wp:positionH relativeFrom="column">
              <wp:posOffset>5528310</wp:posOffset>
            </wp:positionH>
            <wp:positionV relativeFrom="paragraph">
              <wp:posOffset>151130</wp:posOffset>
            </wp:positionV>
            <wp:extent cx="1609725" cy="304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9725" cy="30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Shyft Group Reports Fourth Quarter and Full-Year 2020 Results</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i w:val="1"/>
          <w:iCs w:val="1"/>
          <w:color w:val="auto"/>
        </w:rPr>
        <w:t>Posts Full Year EPS of $1.05 on Sales of $676.0 Million</w:t>
      </w:r>
    </w:p>
    <w:p>
      <w:pPr>
        <w:spacing w:after="0" w:line="19" w:lineRule="exact"/>
        <w:rPr>
          <w:sz w:val="20"/>
          <w:szCs w:val="20"/>
          <w:color w:val="auto"/>
        </w:rPr>
      </w:pPr>
    </w:p>
    <w:p>
      <w:pPr>
        <w:ind w:left="3100"/>
        <w:spacing w:after="0"/>
        <w:rPr>
          <w:sz w:val="20"/>
          <w:szCs w:val="20"/>
          <w:color w:val="auto"/>
        </w:rPr>
      </w:pPr>
      <w:r>
        <w:rPr>
          <w:rFonts w:ascii="Arial" w:cs="Arial" w:eastAsia="Arial" w:hAnsi="Arial"/>
          <w:sz w:val="18"/>
          <w:szCs w:val="18"/>
          <w:b w:val="1"/>
          <w:bCs w:val="1"/>
          <w:i w:val="1"/>
          <w:iCs w:val="1"/>
          <w:color w:val="auto"/>
        </w:rPr>
        <w:t>Business Transformation Drives Full Year Adjusted EPS to $1.34, up 8%</w:t>
      </w:r>
    </w:p>
    <w:p>
      <w:pPr>
        <w:spacing w:after="0" w:line="6" w:lineRule="exact"/>
        <w:rPr>
          <w:sz w:val="20"/>
          <w:szCs w:val="20"/>
          <w:color w:val="auto"/>
        </w:rPr>
      </w:pPr>
    </w:p>
    <w:p>
      <w:pPr>
        <w:ind w:left="1740"/>
        <w:spacing w:after="0"/>
        <w:rPr>
          <w:sz w:val="20"/>
          <w:szCs w:val="20"/>
          <w:color w:val="auto"/>
        </w:rPr>
      </w:pPr>
      <w:r>
        <w:rPr>
          <w:rFonts w:ascii="Arial" w:cs="Arial" w:eastAsia="Arial" w:hAnsi="Arial"/>
          <w:sz w:val="18"/>
          <w:szCs w:val="18"/>
          <w:b w:val="1"/>
          <w:bCs w:val="1"/>
          <w:i w:val="1"/>
          <w:iCs w:val="1"/>
          <w:color w:val="auto"/>
        </w:rPr>
        <w:t>Provides 2021 Midpoint Guidance of $100 Million of Adjusted EBITDA, up 30% on Sales of $875 Million</w:t>
      </w:r>
    </w:p>
    <w:p>
      <w:pPr>
        <w:spacing w:after="0" w:line="200" w:lineRule="exact"/>
        <w:rPr>
          <w:sz w:val="20"/>
          <w:szCs w:val="20"/>
          <w:color w:val="auto"/>
        </w:rPr>
      </w:pPr>
    </w:p>
    <w:p>
      <w:pPr>
        <w:spacing w:after="0" w:line="243" w:lineRule="exact"/>
        <w:rPr>
          <w:sz w:val="20"/>
          <w:szCs w:val="20"/>
          <w:color w:val="auto"/>
        </w:rPr>
      </w:pPr>
    </w:p>
    <w:p>
      <w:pPr>
        <w:jc w:val="both"/>
        <w:ind w:right="140"/>
        <w:spacing w:after="0" w:line="308" w:lineRule="auto"/>
        <w:rPr>
          <w:sz w:val="20"/>
          <w:szCs w:val="20"/>
          <w:color w:val="auto"/>
        </w:rPr>
      </w:pPr>
      <w:r>
        <w:rPr>
          <w:rFonts w:ascii="Arial" w:cs="Arial" w:eastAsia="Arial" w:hAnsi="Arial"/>
          <w:sz w:val="16"/>
          <w:szCs w:val="16"/>
          <w:b w:val="1"/>
          <w:bCs w:val="1"/>
          <w:color w:val="auto"/>
        </w:rPr>
        <w:t xml:space="preserve">Novi, Mich., March 11, 2021 </w:t>
      </w:r>
      <w:r>
        <w:rPr>
          <w:rFonts w:ascii="Arial" w:cs="Arial" w:eastAsia="Arial" w:hAnsi="Arial"/>
          <w:sz w:val="16"/>
          <w:szCs w:val="16"/>
          <w:color w:val="auto"/>
        </w:rPr>
        <w:t>– The Shyft Group, Inc. (NASDAQ: SHYF) (the "Company"), the North American leader in specialty vehicle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and assembly for the commercial and fleet vehicle industries (including last mile delivery, specialty service and vocation-specific upfit markets), as well as for the recreational vehicle markets, today reported operating results for the fourth quarter and full-year periods ending December 31, 2020.</w:t>
      </w:r>
    </w:p>
    <w:p>
      <w:pPr>
        <w:spacing w:after="0" w:line="15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As part of its transformational strategy to further focus on accelerating growth and profitability, the Company divested its Emergency Response (</w:t>
      </w:r>
      <w:r>
        <w:rPr>
          <w:rFonts w:ascii="Arial" w:cs="Arial" w:eastAsia="Arial" w:hAnsi="Arial"/>
          <w:sz w:val="18"/>
          <w:szCs w:val="18"/>
          <w:color w:val="auto"/>
        </w:rPr>
        <w:t>“</w:t>
      </w:r>
      <w:r>
        <w:rPr>
          <w:rFonts w:ascii="Arial" w:cs="Arial" w:eastAsia="Arial" w:hAnsi="Arial"/>
          <w:sz w:val="18"/>
          <w:szCs w:val="18"/>
          <w:i w:val="1"/>
          <w:iCs w:val="1"/>
          <w:color w:val="auto"/>
        </w:rPr>
        <w:t>ER</w:t>
      </w:r>
      <w:r>
        <w:rPr>
          <w:rFonts w:ascii="Arial" w:cs="Arial" w:eastAsia="Arial" w:hAnsi="Arial"/>
          <w:sz w:val="18"/>
          <w:szCs w:val="18"/>
          <w:color w:val="auto"/>
        </w:rPr>
        <w:t>”</w:t>
      </w:r>
      <w:r>
        <w:rPr>
          <w:rFonts w:ascii="Arial" w:cs="Arial" w:eastAsia="Arial" w:hAnsi="Arial"/>
          <w:sz w:val="18"/>
          <w:szCs w:val="18"/>
          <w:i w:val="1"/>
          <w:iCs w:val="1"/>
          <w:color w:val="auto"/>
        </w:rPr>
        <w:t>) business effective February 1, 2020, as previously announced. Accordingly, the financial results of ER have been classified as discontinued operations for all periods presented. Unless otherwise noted, financial results presented are based on continuing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for the twelve-month period ending December 31, 2019, include $91.4 million of pass-through revenues from a one-time USPS truck body order.</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Full-Year 2020 Highlights from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full-year 2020 compared to the full-year 2019:</w:t>
      </w:r>
    </w:p>
    <w:p>
      <w:pPr>
        <w:spacing w:after="0" w:line="220" w:lineRule="exact"/>
        <w:rPr>
          <w:sz w:val="20"/>
          <w:szCs w:val="20"/>
          <w:color w:val="auto"/>
        </w:rPr>
      </w:pPr>
    </w:p>
    <w:p>
      <w:pPr>
        <w:ind w:left="320" w:right="440" w:hanging="313"/>
        <w:spacing w:after="0" w:line="255"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Sales of $676.0 million, a decrease of $80.5 million, or 10.7%, from $756.5 million. Excluding USPS order, sales increased $10.9 million, or 1.6%, despite pandemic related headwinds throughout the year.</w:t>
      </w:r>
    </w:p>
    <w:p>
      <w:pPr>
        <w:ind w:left="320" w:right="400" w:hanging="313"/>
        <w:spacing w:after="0" w:line="247"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Gross margin of 21.6% of sales, a 610 basis point improvement from 15.5% of sales, due to the momentum from the Company</w:t>
      </w:r>
      <w:r>
        <w:rPr>
          <w:rFonts w:ascii="Arial" w:cs="Arial" w:eastAsia="Arial" w:hAnsi="Arial"/>
          <w:sz w:val="18"/>
          <w:szCs w:val="18"/>
          <w:color w:val="auto"/>
        </w:rPr>
        <w:t>’</w:t>
      </w:r>
      <w:r>
        <w:rPr>
          <w:rFonts w:ascii="Arial" w:cs="Arial" w:eastAsia="Arial" w:hAnsi="Arial"/>
          <w:sz w:val="18"/>
          <w:szCs w:val="18"/>
          <w:i w:val="1"/>
          <w:iCs w:val="1"/>
          <w:color w:val="auto"/>
        </w:rPr>
        <w:t>s strategy to focus on higher margin products and actions taken to improve overall operating efficiency.</w:t>
      </w:r>
    </w:p>
    <w:p>
      <w:pPr>
        <w:ind w:left="320" w:hanging="31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Income from continuing operations of $38.3 million, or $1.05 per share, compared to $36.8 million, or $1.03 per share.</w:t>
      </w:r>
    </w:p>
    <w:p>
      <w:pPr>
        <w:spacing w:after="0" w:line="6" w:lineRule="exact"/>
        <w:rPr>
          <w:rFonts w:ascii="Arial" w:cs="Arial" w:eastAsia="Arial" w:hAnsi="Arial"/>
          <w:sz w:val="18"/>
          <w:szCs w:val="18"/>
          <w:color w:val="auto"/>
        </w:rPr>
      </w:pPr>
    </w:p>
    <w:p>
      <w:pPr>
        <w:ind w:left="320" w:right="200" w:hanging="313"/>
        <w:spacing w:after="0" w:line="247"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Adjusted EBITDA of $76.3 million, or a record 11.3% of sales, an increase of $12.3 million, or 19.2%, from $64.0 million, or 8.5% of sales. The USPS order reduced adjusted EBITDA as a percentage of sales by approximately 110 basis points in the prior year.</w:t>
      </w:r>
    </w:p>
    <w:p>
      <w:pPr>
        <w:ind w:left="320" w:hanging="31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Adjusted net income of $48.2 million, or $1.34 per share, an increase of $4.3 million, or 9.9%, from $43.9 million, or $1.24 per share.</w:t>
      </w:r>
    </w:p>
    <w:p>
      <w:pPr>
        <w:spacing w:after="0" w:line="6" w:lineRule="exact"/>
        <w:rPr>
          <w:rFonts w:ascii="Arial" w:cs="Arial" w:eastAsia="Arial" w:hAnsi="Arial"/>
          <w:sz w:val="18"/>
          <w:szCs w:val="18"/>
          <w:color w:val="auto"/>
        </w:rPr>
      </w:pPr>
    </w:p>
    <w:p>
      <w:pPr>
        <w:ind w:left="320" w:hanging="313"/>
        <w:spacing w:after="0"/>
        <w:tabs>
          <w:tab w:leader="none" w:pos="32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Generated $65.8 million of cash from operating activities, an increase of $31.6 million, or 92.6% from $34.2 million and reduced debt by $65.0 million.</w:t>
      </w:r>
    </w:p>
    <w:p>
      <w:pPr>
        <w:spacing w:after="0" w:line="29" w:lineRule="exact"/>
        <w:rPr>
          <w:rFonts w:ascii="Arial" w:cs="Arial" w:eastAsia="Arial" w:hAnsi="Arial"/>
          <w:sz w:val="16"/>
          <w:szCs w:val="16"/>
          <w:color w:val="auto"/>
        </w:rPr>
      </w:pPr>
    </w:p>
    <w:p>
      <w:pPr>
        <w:ind w:left="320" w:right="240" w:hanging="313"/>
        <w:spacing w:after="0" w:line="255"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Consolidated backlog at December 31, 2020, totaled $478.7 million, up $142.1 million, or 42.2%, compared to $336.6 million at December 31, 2019, reflecting continued strong demand across business units.</w:t>
      </w:r>
    </w:p>
    <w:p>
      <w:pPr>
        <w:spacing w:after="0" w:line="38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Fourth Quarter 2020 Highlights from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2020 compared to the fourth quarter of 2019:</w:t>
      </w:r>
    </w:p>
    <w:p>
      <w:pPr>
        <w:spacing w:after="0" w:line="220"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Sales of $171.6 million, a decrease of $8.4 million, or 4.7%, from $180.0 million.</w:t>
      </w:r>
    </w:p>
    <w:p>
      <w:pPr>
        <w:spacing w:after="0" w:line="19" w:lineRule="exact"/>
        <w:rPr>
          <w:rFonts w:ascii="Arial" w:cs="Arial" w:eastAsia="Arial" w:hAnsi="Arial"/>
          <w:sz w:val="18"/>
          <w:szCs w:val="18"/>
          <w:color w:val="auto"/>
        </w:rPr>
      </w:pPr>
    </w:p>
    <w:p>
      <w:pPr>
        <w:ind w:left="320" w:hanging="313"/>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Income from continuing operations of $8.3 million, or $0.22 per share, compared to $14.3 million, or $0.40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320" w:hanging="313"/>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Adjusted EBITDA of $16.0 million, or 9.3% of sales, a decrease of $7.6 million, or 32.0%, from $23.6 million, or 13.1% of sales.</w:t>
      </w:r>
    </w:p>
    <w:p>
      <w:pPr>
        <w:spacing w:after="0" w:line="19" w:lineRule="exact"/>
        <w:rPr>
          <w:rFonts w:ascii="Arial" w:cs="Arial" w:eastAsia="Arial" w:hAnsi="Arial"/>
          <w:sz w:val="18"/>
          <w:szCs w:val="18"/>
          <w:color w:val="auto"/>
        </w:rPr>
      </w:pPr>
    </w:p>
    <w:p>
      <w:pPr>
        <w:ind w:left="320" w:hanging="313"/>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Adjusted net income of $10.1 million, or $0.27 per share, compared to $16.5 million, or $0.47 per share.</w:t>
      </w:r>
    </w:p>
    <w:p>
      <w:pPr>
        <w:spacing w:after="0" w:line="6" w:lineRule="exact"/>
        <w:rPr>
          <w:rFonts w:ascii="Arial" w:cs="Arial" w:eastAsia="Arial" w:hAnsi="Arial"/>
          <w:sz w:val="18"/>
          <w:szCs w:val="18"/>
          <w:color w:val="auto"/>
        </w:rPr>
      </w:pPr>
    </w:p>
    <w:p>
      <w:pPr>
        <w:ind w:left="320" w:right="560" w:hanging="313"/>
        <w:spacing w:after="0" w:line="247"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Repurchased 300,000 shares of The Shyft Group common stock for approximately $7.5 million in the aggregate pursuant to the Company</w:t>
      </w:r>
      <w:r>
        <w:rPr>
          <w:rFonts w:ascii="Arial" w:cs="Arial" w:eastAsia="Arial" w:hAnsi="Arial"/>
          <w:sz w:val="18"/>
          <w:szCs w:val="18"/>
          <w:color w:val="auto"/>
        </w:rPr>
        <w:t>’</w:t>
      </w:r>
      <w:r>
        <w:rPr>
          <w:rFonts w:ascii="Arial" w:cs="Arial" w:eastAsia="Arial" w:hAnsi="Arial"/>
          <w:sz w:val="18"/>
          <w:szCs w:val="18"/>
          <w:i w:val="1"/>
          <w:iCs w:val="1"/>
          <w:color w:val="auto"/>
        </w:rPr>
        <w:t>s share repurchase authorization.</w:t>
      </w:r>
    </w:p>
    <w:p>
      <w:pPr>
        <w:ind w:left="320" w:right="1040" w:hanging="313"/>
        <w:spacing w:after="0" w:line="255"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Purchased the F3 MFG, Inc. business (</w:t>
      </w:r>
      <w:r>
        <w:rPr>
          <w:rFonts w:ascii="Arial" w:cs="Arial" w:eastAsia="Arial" w:hAnsi="Arial"/>
          <w:sz w:val="18"/>
          <w:szCs w:val="18"/>
          <w:color w:val="auto"/>
        </w:rPr>
        <w:t>“</w:t>
      </w:r>
      <w:r>
        <w:rPr>
          <w:rFonts w:ascii="Arial" w:cs="Arial" w:eastAsia="Arial" w:hAnsi="Arial"/>
          <w:sz w:val="18"/>
          <w:szCs w:val="18"/>
          <w:i w:val="1"/>
          <w:iCs w:val="1"/>
          <w:color w:val="auto"/>
        </w:rPr>
        <w:t>DuraMag</w:t>
      </w:r>
      <w:r>
        <w:rPr>
          <w:rFonts w:ascii="Arial" w:cs="Arial" w:eastAsia="Arial" w:hAnsi="Arial"/>
          <w:sz w:val="18"/>
          <w:szCs w:val="18"/>
          <w:color w:val="auto"/>
        </w:rPr>
        <w:t>”</w:t>
      </w:r>
      <w:r>
        <w:rPr>
          <w:rFonts w:ascii="Arial" w:cs="Arial" w:eastAsia="Arial" w:hAnsi="Arial"/>
          <w:sz w:val="18"/>
          <w:szCs w:val="18"/>
          <w:i w:val="1"/>
          <w:iCs w:val="1"/>
          <w:color w:val="auto"/>
        </w:rPr>
        <w:t>), a leading aluminum service body and accessory manufacturer of the well-recognized DuraMag</w:t>
      </w:r>
      <w:r>
        <w:rPr>
          <w:rFonts w:ascii="Arial" w:cs="Arial" w:eastAsia="Arial" w:hAnsi="Arial"/>
          <w:sz w:val="18"/>
          <w:szCs w:val="18"/>
          <w:color w:val="auto"/>
        </w:rPr>
        <w:t>®</w:t>
      </w:r>
      <w:r>
        <w:rPr>
          <w:rFonts w:ascii="Arial" w:cs="Arial" w:eastAsia="Arial" w:hAnsi="Arial"/>
          <w:sz w:val="18"/>
          <w:szCs w:val="18"/>
          <w:i w:val="1"/>
          <w:iCs w:val="1"/>
          <w:color w:val="auto"/>
        </w:rPr>
        <w:t xml:space="preserve"> and Magnum</w:t>
      </w:r>
      <w:r>
        <w:rPr>
          <w:rFonts w:ascii="Arial" w:cs="Arial" w:eastAsia="Arial" w:hAnsi="Arial"/>
          <w:sz w:val="18"/>
          <w:szCs w:val="18"/>
          <w:color w:val="auto"/>
        </w:rPr>
        <w:t>®</w:t>
      </w:r>
      <w:r>
        <w:rPr>
          <w:rFonts w:ascii="Arial" w:cs="Arial" w:eastAsia="Arial" w:hAnsi="Arial"/>
          <w:sz w:val="18"/>
          <w:szCs w:val="18"/>
          <w:i w:val="1"/>
          <w:iCs w:val="1"/>
          <w:color w:val="auto"/>
        </w:rPr>
        <w:t xml:space="preserve"> brands.</w:t>
      </w:r>
    </w:p>
    <w:p>
      <w:pPr>
        <w:spacing w:after="0" w:line="188"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“By all accounts, 2020 proved to be a historic and transformative year for The Shyft Group, as we strategically aligned our product portfolio to take advantage of more profitable growth markets after the sale of the ER business,” said Daryl Adams, President and Chief Executive Officer. “I am incredibly proud and appreciative of the tremendous efforts of our entire team. Throughout 2020, we rose to the challenge to overcome the impact of the COVID-19 pandemic and related plant disruptions to meet customer demand, while ending the year with nearly $500 million in backlog. We completed another key acquisition that expanded our product offerings, and we continued our efforts toward greater efficiency and productivity across our operations. We emerge from 2020 in a stronger position, well equipped to drive growth in each of our businesses for years to come.”</w:t>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Full-Year 2020 Segment Results from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full-year 2020 compared to the full-year 2019:</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Fleet Vehicles and Services (FVS)</w:t>
      </w:r>
    </w:p>
    <w:p>
      <w:pPr>
        <w:spacing w:after="0" w:line="219"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FVS segment sales were $490.5 million, a decrease of 14.8% from $575.9 million. Sales increased 1.2%, or $6.0 million, excluding the USPS order, due to higher last mile delivery vehicle volume.</w:t>
      </w:r>
    </w:p>
    <w:p>
      <w:pPr>
        <w:spacing w:after="0" w:line="175"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Adjusted EBITDA increased $24.5 million to a record $85.2 million, or 17.4% of sales, from $60.7 million, or 10.5% of sales, a year ago. The increase was primarily due to product mix, productivity and cost reduction actions.</w:t>
      </w:r>
    </w:p>
    <w:p>
      <w:pPr>
        <w:spacing w:after="0" w:line="175"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The segment backlog at December 31, 2020, totaled a record $427.3 million, up 39.7%, compared to $305.9 million at December 31, 2019, which reflects strong demand for delivery vehicles.</w:t>
      </w:r>
    </w:p>
    <w:p>
      <w:pPr>
        <w:spacing w:after="0" w:line="3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Specialty Vehicles (SV)</w:t>
      </w:r>
    </w:p>
    <w:p>
      <w:pPr>
        <w:spacing w:after="0" w:line="219" w:lineRule="exact"/>
        <w:rPr>
          <w:sz w:val="20"/>
          <w:szCs w:val="20"/>
          <w:color w:val="auto"/>
        </w:rPr>
      </w:pPr>
    </w:p>
    <w:p>
      <w:pPr>
        <w:ind w:right="580"/>
        <w:spacing w:after="0" w:line="300" w:lineRule="auto"/>
        <w:rPr>
          <w:sz w:val="20"/>
          <w:szCs w:val="20"/>
          <w:color w:val="auto"/>
        </w:rPr>
      </w:pPr>
      <w:r>
        <w:rPr>
          <w:rFonts w:ascii="Arial" w:cs="Arial" w:eastAsia="Arial" w:hAnsi="Arial"/>
          <w:sz w:val="17"/>
          <w:szCs w:val="17"/>
          <w:color w:val="auto"/>
        </w:rPr>
        <w:t>SV segment sales were $185.5 million, essentially flat compared to last year’s $185.9 million due to lower volume in luxury motor coach chassis and contract manufacturing, partially offset by the Royal (September, 2019) and the DuraMag (October, 2020) acquisitions.</w:t>
      </w:r>
    </w:p>
    <w:p>
      <w:pPr>
        <w:spacing w:after="0" w:line="152" w:lineRule="exact"/>
        <w:rPr>
          <w:sz w:val="20"/>
          <w:szCs w:val="20"/>
          <w:color w:val="auto"/>
        </w:rPr>
      </w:pPr>
    </w:p>
    <w:p>
      <w:pPr>
        <w:ind w:right="420"/>
        <w:spacing w:after="0" w:line="270" w:lineRule="auto"/>
        <w:rPr>
          <w:sz w:val="20"/>
          <w:szCs w:val="20"/>
          <w:color w:val="auto"/>
        </w:rPr>
      </w:pPr>
      <w:r>
        <w:rPr>
          <w:rFonts w:ascii="Arial" w:cs="Arial" w:eastAsia="Arial" w:hAnsi="Arial"/>
          <w:sz w:val="18"/>
          <w:szCs w:val="18"/>
          <w:color w:val="auto"/>
        </w:rPr>
        <w:t>Adjusted EBITDA was $19.0 million, or 10.2% of sales, a decrease of $1.7 million from $20.7 million, or 11.1% of sales, a year ago. The decrease was primarily due to lower volume partially offset by the recent acquisitions.</w:t>
      </w:r>
    </w:p>
    <w:p>
      <w:pPr>
        <w:spacing w:after="0" w:line="175"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Segment backlog at December 31, 2020, totaled $51.3 million, up 67.0%, compared to $30.7 million at December 31, 2019, due to increased luxury motor coach chassis and service body orders.</w:t>
      </w:r>
    </w:p>
    <w:p>
      <w:pPr>
        <w:spacing w:after="0" w:line="3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Liquidity Update</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Shyft Group’s access to capital remains strong at $146.8 million, including $21.0 million of cash on hand at December 31, 2020. The Company paid down $65.0 million on its revolving credit facility during 2020 and during the fourth quarter, repurchased 300,000 shares of Shyft common stock for approximately $7.5 million. The leverage ratio currently stands at 0.4 times adjusted EBITDA and leaves the Company well positioned to continue its pursuit of strategic opportunities.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4" w:name="page5"/>
    <w:bookmarkEnd w:id="4"/>
    <w:p>
      <w:pPr>
        <w:spacing w:after="0"/>
        <w:rPr>
          <w:sz w:val="20"/>
          <w:szCs w:val="20"/>
          <w:color w:val="auto"/>
        </w:rPr>
      </w:pPr>
      <w:r>
        <w:rPr>
          <w:rFonts w:ascii="Arial" w:cs="Arial" w:eastAsia="Arial" w:hAnsi="Arial"/>
          <w:sz w:val="21"/>
          <w:szCs w:val="21"/>
          <w:b w:val="1"/>
          <w:bCs w:val="1"/>
          <w:i w:val="1"/>
          <w:iCs w:val="1"/>
          <w:color w:val="auto"/>
        </w:rPr>
        <w:t>2021 Outlook</w:t>
      </w:r>
    </w:p>
    <w:p>
      <w:pPr>
        <w:spacing w:after="0" w:line="21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record EBITDA margin performance this past year and the strength of our balance sheet reflects the power of our recently transformed company. We effectively replaced a non-strategic ER business with two leading service body companies that generate nearly $100 million of annualized revenue with attractive profitability, said Jon Douyard, Chief Financial Officer. “We generated cash flow well in excess of net income, which we were able to deploy in 2020 to repay debt and return $11 million in cash to our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Company guidance for full-year 2021 from continuing operations is as follows:</w:t>
      </w:r>
    </w:p>
    <w:p>
      <w:pPr>
        <w:spacing w:after="0" w:line="220" w:lineRule="exact"/>
        <w:rPr>
          <w:sz w:val="20"/>
          <w:szCs w:val="20"/>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to be in the range of $850 to $900 million</w:t>
      </w:r>
    </w:p>
    <w:p>
      <w:pPr>
        <w:spacing w:after="0" w:line="19"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of $51 to $58 million</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of $95 to $105 million</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tax rate of approximately 26%</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per share of $1.42 - $1.62</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earnings per share of $1.65 - $1.85</w:t>
      </w:r>
    </w:p>
    <w:p>
      <w:pPr>
        <w:spacing w:after="0" w:line="20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“We look ahead to 2021 with optimism. The actions taken to date to support our growth strategy are aligned to take advantage of the strength of our end markets. During 2021, we will continue to invest in our exclusive Velocity</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line of vehicles, including additional ICE and EV platforms to support our customer demands and we plan to opportunistically pursue acquisitions to penetrate new markets while maintaining a focus on last mile delivery. We emerge from 2020 in an advantageous position, well equipped to drive sustainable, profitable growth in each of our businesses and to drive long-term value for our shareholders,” concluded Adams.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Investor Presentation and Investor Information</w:t>
      </w:r>
    </w:p>
    <w:p>
      <w:pPr>
        <w:spacing w:after="0" w:line="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Shyft Group will host a conference call for analysts and portfolio managers at 10 a.m. ET today to discuss these results and current business trends. The conference call and webcast will be available via: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Webcast: </w:t>
      </w:r>
      <w:r>
        <w:rPr>
          <w:rFonts w:ascii="Arial" w:cs="Arial" w:eastAsia="Arial" w:hAnsi="Arial"/>
          <w:sz w:val="18"/>
          <w:szCs w:val="18"/>
          <w:u w:val="single" w:color="auto"/>
          <w:color w:val="auto"/>
        </w:rPr>
        <w:t>www.the shyftgroup.com/webcasts</w:t>
      </w:r>
      <w:r>
        <w:rPr>
          <w:rFonts w:ascii="Arial" w:cs="Arial" w:eastAsia="Arial" w:hAnsi="Arial"/>
          <w:sz w:val="18"/>
          <w:szCs w:val="18"/>
          <w:color w:val="auto"/>
        </w:rPr>
        <w:t xml:space="preserve"> or click on “Investor Relations” then “Webcasts”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1-877-317-6789 (domestic) or 1-412-317-6789 (international); passcode: 10152483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Shyft, please visit </w:t>
      </w:r>
      <w:r>
        <w:rPr>
          <w:rFonts w:ascii="Arial" w:cs="Arial" w:eastAsia="Arial" w:hAnsi="Arial"/>
          <w:sz w:val="18"/>
          <w:szCs w:val="18"/>
          <w:u w:val="single" w:color="auto"/>
          <w:color w:val="auto"/>
        </w:rPr>
        <w:t>www.theshyftgroup.com</w:t>
      </w:r>
      <w:r>
        <w:rPr>
          <w:rFonts w:ascii="Arial" w:cs="Arial" w:eastAsia="Arial" w:hAnsi="Arial"/>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Shyft Group</w:t>
      </w:r>
    </w:p>
    <w:p>
      <w:pPr>
        <w:spacing w:after="0" w:line="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The Shyft Group is the North American leader in specialty vehicle manufacturing, assembly, and upfit for the commercial, retail, and service specialty vehicle markets. Our customers include first-to-last mile delivery companies across vocations, federal, state, and local government entities; the trades; and utility and infrastructure segments. The Shyft Group is organized into two core business units: Shyft Fleet Vehicles &amp; Services and Shyft Specialty Vehicles. Today, its go-to-market brands include Utilimaster, Royal Truck Body, DuraMag and Magnum, Strobes-R-Us, Spartan RV Chassis, and Builtmore Contract Manufacturing, which are well known in their respective industries for quality, durability, first-to-market innovation, and industry-leading aftermarket parts, service, and support. The Company employs approximately 3,000 employees and contractors across campuses, and operates facilities in Michigan, Indiana, Maine, Pennsylvania, South Carolina, Florida, Missouri, California, Arizona, Texas, and Saltillo, Mexico. The Company reported sales from continuing operations of $676 million in 2020. Learn more about The Shyft Group at </w:t>
      </w:r>
      <w:r>
        <w:rPr>
          <w:rFonts w:ascii="Arial" w:cs="Arial" w:eastAsia="Arial" w:hAnsi="Arial"/>
          <w:sz w:val="16"/>
          <w:szCs w:val="16"/>
          <w:u w:val="single" w:color="auto"/>
          <w:color w:val="auto"/>
        </w:rPr>
        <w:t>www.TheShyftGroup.com</w:t>
      </w:r>
      <w:r>
        <w:rPr>
          <w:rFonts w:ascii="Arial" w:cs="Arial" w:eastAsia="Arial" w:hAnsi="Arial"/>
          <w:sz w:val="16"/>
          <w:szCs w:val="16"/>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5" w:name="page6"/>
    <w:bookmarkEnd w:id="5"/>
    <w:p>
      <w:pPr>
        <w:spacing w:after="0" w:line="281" w:lineRule="auto"/>
        <w:rPr>
          <w:sz w:val="20"/>
          <w:szCs w:val="20"/>
          <w:color w:val="auto"/>
        </w:rPr>
      </w:pPr>
      <w:r>
        <w:rPr>
          <w:rFonts w:ascii="Arial" w:cs="Arial" w:eastAsia="Arial" w:hAnsi="Arial"/>
          <w:sz w:val="16"/>
          <w:szCs w:val="16"/>
          <w:i w:val="1"/>
          <w:iCs w:val="1"/>
          <w:color w:val="auto"/>
        </w:rPr>
        <w:t xml:space="preserve">This release contains several forward-looking statements that are not historical facts, including our revenue and earnings guidance, all other information provided with respect to our outlook for 2021 and future periods, and other statements concerning our business, strategic position, financial projections, financial strength, future plans, objectives, and the performance of our products and operations that are not historical facts. These statements can be identified by words such as "believe," "expect," "intend," "potential," "future," "may," "will," "should," and similar expressions regarding future expectations. Furthermore, statements contained in this release relating to the COVID-19 pandemic, the impact of which remains inherently uncertain on our financial results, are forward-looking statements. These forward-looking statements involve various known and unknown risks, uncertainties, and assumptions that are difficult to predict with regard to timing, extent, and likelihood. Therefore, actual performance and results may materially differ from what may be expressed or forecasted in such forward-looking statements. Factors that could contribute to these differences include future developments relating to the COVID-19 pandemic, including governmental responses, supply chain shortages, and potential labor issues; operational and other complications that may arise affecting the implementation of our plans and business objectives; continued pressures caused by economic conditions including weaknesses resulting from the COVID-19 pandemic; challenges that may arise in connection with the integration of new businesses or assets we acquire or the disposition of assets; restructuring of our operations, and/or our expansion into new geographic markets; issues unique to government contracting, such as competitive bidding processes, qualification requirements, and delays or changes in funding; disruptions within our dealer network; changes in our relationships with major customers, suppliers, or other business partners; changes in the demand or supply of products within our markets or raw materials needed to manufacture those products; and changes in laws and regulations affecting our business. Other factors that could affect outcomes are set forth in our Annual Report on Form 10-K and other filings we make with the Securities and Exchange Commission (SEC), which are available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or our website. All forward-looking statements in this release are qualified by this paragraph. Investors should not place undue reliance on forward-looking statements as a prediction of actual results. We undertake no obligation to publicly update or revise any forward-looking statements in this release, whether as a result of new information, future events, or otherwise.</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Juris Pagrabs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Group Treasurer &amp; Director of 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The Shyft Group,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517-997-3862</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December 31,</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8"/>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19,349</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Accounts receivable, less allowance of $116 and $228</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64,695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58,874</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10,898</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46,428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59,456</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 - chassis pool agreements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8,162</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5,344</w:t>
            </w:r>
          </w:p>
        </w:tc>
      </w:tr>
      <w:tr>
        <w:trPr>
          <w:trHeight w:val="21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 held for sale</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156,207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252,808</w:t>
            </w:r>
          </w:p>
        </w:tc>
      </w:tr>
      <w:tr>
        <w:trPr>
          <w:trHeight w:val="213"/>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45,734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40,074</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Right of use assets </w:t>
            </w:r>
            <w:r>
              <w:rPr>
                <w:rFonts w:ascii="Arial" w:cs="Arial" w:eastAsia="Arial" w:hAnsi="Arial"/>
                <w:sz w:val="18"/>
                <w:szCs w:val="18"/>
                <w:color w:val="auto"/>
              </w:rPr>
              <w:t>–</w:t>
            </w:r>
            <w:r>
              <w:rPr>
                <w:rFonts w:ascii="Arial" w:cs="Arial" w:eastAsia="Arial" w:hAnsi="Arial"/>
                <w:sz w:val="18"/>
                <w:szCs w:val="18"/>
                <w:b w:val="1"/>
                <w:bCs w:val="1"/>
                <w:color w:val="auto"/>
              </w:rPr>
              <w:t xml:space="preserve"> operating leases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32,147</w:t>
            </w: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49,481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43,632</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54,061</w:t>
            </w: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2,295</w:t>
            </w:r>
          </w:p>
        </w:tc>
      </w:tr>
      <w:tr>
        <w:trPr>
          <w:trHeight w:val="21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 asset</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359,049</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450,537</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800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54,713</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Accrued warranty</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5,694</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taxes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15,841</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Deposits from customers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2,640</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5,162</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Other current liabilities and accrued expenses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15,967</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Short-term debt - chassis pool agreements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8,162</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 held for sale</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93,363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157,957</w:t>
            </w:r>
          </w:p>
        </w:tc>
      </w:tr>
      <w:tr>
        <w:trPr>
          <w:trHeight w:val="213"/>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Other non-current liabilities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4,922</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operating lease liability</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27,241</w:t>
            </w: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Long-term debt, less current portion</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23,418</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88,670</w:t>
            </w:r>
          </w:p>
        </w:tc>
        <w:tc>
          <w:tcPr>
            <w:tcW w:w="100" w:type="dxa"/>
            <w:vAlign w:val="bottom"/>
          </w:tcPr>
          <w:p>
            <w:pPr>
              <w:spacing w:after="0"/>
              <w:rPr>
                <w:sz w:val="18"/>
                <w:szCs w:val="18"/>
                <w:color w:val="auto"/>
              </w:rPr>
            </w:pPr>
          </w:p>
        </w:tc>
      </w:tr>
      <w:tr>
        <w:trPr>
          <w:trHeight w:val="207"/>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158,890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278,790</w:t>
            </w: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no par value: 2,000 shares authorized (none issued)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Common stock, no par value: 80,000 shares authorized; 35,344 and 35,343 outstanding</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91,044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85,148</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109,286</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86,764</w:t>
            </w:r>
          </w:p>
        </w:tc>
        <w:tc>
          <w:tcPr>
            <w:tcW w:w="100" w:type="dxa"/>
            <w:vAlign w:val="bottom"/>
          </w:tcPr>
          <w:p>
            <w:pPr>
              <w:spacing w:after="0"/>
              <w:rPr>
                <w:sz w:val="18"/>
                <w:szCs w:val="18"/>
                <w:color w:val="auto"/>
              </w:rPr>
            </w:pPr>
          </w:p>
        </w:tc>
      </w:tr>
      <w:tr>
        <w:trPr>
          <w:trHeight w:val="207"/>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The Shyft Group, Inc. shareholders' equity</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200,330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172,265</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r>
      <w:tr>
        <w:trPr>
          <w:trHeight w:val="207"/>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200,159</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171,747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7"/>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359,049</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450,537</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5"/>
              </w:rPr>
              <w:t>Twelve Months Ended</w:t>
            </w:r>
          </w:p>
        </w:tc>
      </w:tr>
      <w:tr>
        <w:trPr>
          <w:trHeight w:val="230"/>
        </w:trPr>
        <w:tc>
          <w:tcPr>
            <w:tcW w:w="4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December 31,</w:t>
            </w:r>
          </w:p>
        </w:tc>
      </w:tr>
      <w:tr>
        <w:trPr>
          <w:trHeight w:val="208"/>
        </w:trPr>
        <w:tc>
          <w:tcPr>
            <w:tcW w:w="4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171,582</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179,960</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675,973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756,542</w:t>
            </w: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Cost of products sold</w:t>
            </w:r>
          </w:p>
        </w:tc>
        <w:tc>
          <w:tcPr>
            <w:tcW w:w="1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142,541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639,515</w:t>
            </w:r>
          </w:p>
        </w:tc>
        <w:tc>
          <w:tcPr>
            <w:tcW w:w="100" w:type="dxa"/>
            <w:vAlign w:val="bottom"/>
          </w:tcPr>
          <w:p>
            <w:pPr>
              <w:spacing w:after="0"/>
              <w:rPr>
                <w:sz w:val="18"/>
                <w:szCs w:val="18"/>
                <w:color w:val="auto"/>
              </w:rPr>
            </w:pPr>
          </w:p>
        </w:tc>
      </w:tr>
      <w:tr>
        <w:trPr>
          <w:trHeight w:val="207"/>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37,419</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146,277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117,027</w:t>
            </w:r>
          </w:p>
        </w:tc>
      </w:tr>
      <w:tr>
        <w:trPr>
          <w:trHeight w:val="213"/>
        </w:trPr>
        <w:tc>
          <w:tcPr>
            <w:tcW w:w="4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8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1,389</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4,361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4,864</w:t>
            </w:r>
          </w:p>
        </w:tc>
      </w:tr>
      <w:tr>
        <w:trPr>
          <w:trHeight w:val="213"/>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17,734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64,549</w:t>
            </w:r>
          </w:p>
        </w:tc>
      </w:tr>
      <w:tr>
        <w:trPr>
          <w:trHeight w:val="20"/>
        </w:trPr>
        <w:tc>
          <w:tcPr>
            <w:tcW w:w="48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482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24,399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19,123</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97,429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69,413</w:t>
            </w:r>
          </w:p>
        </w:tc>
      </w:tr>
      <w:tr>
        <w:trPr>
          <w:trHeight w:val="213"/>
        </w:trPr>
        <w:tc>
          <w:tcPr>
            <w:tcW w:w="48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48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10,822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18,296</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48,848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47,614</w:t>
            </w:r>
          </w:p>
        </w:tc>
      </w:tr>
      <w:tr>
        <w:trPr>
          <w:trHeight w:val="213"/>
        </w:trPr>
        <w:tc>
          <w:tcPr>
            <w:tcW w:w="4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Other income (expense):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(1,839)</w:t>
            </w:r>
          </w:p>
        </w:tc>
      </w:tr>
      <w:tr>
        <w:trPr>
          <w:trHeight w:val="213"/>
        </w:trPr>
        <w:tc>
          <w:tcPr>
            <w:tcW w:w="4820" w:type="dxa"/>
            <w:vAlign w:val="bottom"/>
          </w:tcPr>
          <w:p>
            <w:pPr>
              <w:ind w:left="160"/>
              <w:spacing w:after="0"/>
              <w:rPr>
                <w:sz w:val="20"/>
                <w:szCs w:val="20"/>
                <w:color w:val="auto"/>
              </w:rPr>
            </w:pPr>
            <w:r>
              <w:rPr>
                <w:rFonts w:ascii="Arial" w:cs="Arial" w:eastAsia="Arial" w:hAnsi="Arial"/>
                <w:sz w:val="18"/>
                <w:szCs w:val="18"/>
                <w:color w:val="auto"/>
              </w:rPr>
              <w:t>Interest and other income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1,370</w:t>
            </w: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income (expense)</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w:t>
            </w:r>
          </w:p>
        </w:tc>
      </w:tr>
      <w:tr>
        <w:trPr>
          <w:trHeight w:val="207"/>
        </w:trPr>
        <w:tc>
          <w:tcPr>
            <w:tcW w:w="4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11,089</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48,156</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47,145</w:t>
            </w:r>
          </w:p>
        </w:tc>
        <w:tc>
          <w:tcPr>
            <w:tcW w:w="100" w:type="dxa"/>
            <w:vAlign w:val="bottom"/>
            <w:tcBorders>
              <w:top w:val="single" w:sz="8" w:color="CCEEFF"/>
            </w:tcBorders>
          </w:tcPr>
          <w:p>
            <w:pPr>
              <w:spacing w:after="0"/>
              <w:rPr>
                <w:sz w:val="17"/>
                <w:szCs w:val="17"/>
                <w:color w:val="auto"/>
              </w:rPr>
            </w:pPr>
          </w:p>
        </w:tc>
      </w:tr>
      <w:tr>
        <w:trPr>
          <w:trHeight w:val="213"/>
        </w:trPr>
        <w:tc>
          <w:tcPr>
            <w:tcW w:w="4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Income tax expense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3,426</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9,867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10,355</w:t>
            </w:r>
          </w:p>
        </w:tc>
      </w:tr>
      <w:tr>
        <w:trPr>
          <w:trHeight w:val="207"/>
        </w:trPr>
        <w:tc>
          <w:tcPr>
            <w:tcW w:w="4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14,285</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38,289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36,790</w:t>
            </w:r>
          </w:p>
        </w:tc>
      </w:tr>
      <w:tr>
        <w:trPr>
          <w:trHeight w:val="213"/>
        </w:trPr>
        <w:tc>
          <w:tcPr>
            <w:tcW w:w="4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(41,952)</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(5,123)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(49,216)</w:t>
            </w:r>
          </w:p>
        </w:tc>
      </w:tr>
      <w:tr>
        <w:trPr>
          <w:trHeight w:val="207"/>
        </w:trPr>
        <w:tc>
          <w:tcPr>
            <w:tcW w:w="4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Net income (loss)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(27,667)</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33,166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(12,426)</w:t>
            </w:r>
          </w:p>
        </w:tc>
      </w:tr>
      <w:tr>
        <w:trPr>
          <w:trHeight w:val="213"/>
        </w:trPr>
        <w:tc>
          <w:tcPr>
            <w:tcW w:w="4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w w:val="98"/>
              </w:rPr>
              <w:t>Less: net income (loss) attributable to non-controlling interest</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07"/>
        </w:trPr>
        <w:tc>
          <w:tcPr>
            <w:tcW w:w="4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b w:val="1"/>
                <w:bCs w:val="1"/>
                <w:color w:val="auto"/>
              </w:rPr>
              <w:t>Net income attributable to The Shyft Group, Inc.</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7,633</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(27,821)</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32,819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(12,566)</w:t>
            </w: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48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b w:val="1"/>
                <w:bCs w:val="1"/>
                <w:color w:val="auto"/>
              </w:rPr>
              <w:t>Basic earnings (loss) per share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13"/>
        </w:trPr>
        <w:tc>
          <w:tcPr>
            <w:tcW w:w="482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(0.79)</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r>
      <w:tr>
        <w:trPr>
          <w:trHeight w:val="213"/>
        </w:trPr>
        <w:tc>
          <w:tcPr>
            <w:tcW w:w="4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earnings (loss) per share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82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0.40</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r>
      <w:tr>
        <w:trPr>
          <w:trHeight w:val="213"/>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r>
      <w:tr>
        <w:trPr>
          <w:trHeight w:val="20"/>
        </w:trPr>
        <w:tc>
          <w:tcPr>
            <w:tcW w:w="48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482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(0.78)</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0.91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(0.36)</w:t>
            </w:r>
          </w:p>
        </w:tc>
      </w:tr>
      <w:tr>
        <w:trPr>
          <w:trHeight w:val="213"/>
        </w:trPr>
        <w:tc>
          <w:tcPr>
            <w:tcW w:w="4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35,445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35,339</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35,479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35,318</w:t>
            </w: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48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36,226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35,582</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36,039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35,416</w:t>
            </w: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482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Sales and Other Financial Information by Business Segment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End Backlog (amounts in thousands of dollars)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100"/>
              <w:spacing w:after="0" w:line="194" w:lineRule="exact"/>
              <w:rPr>
                <w:sz w:val="20"/>
                <w:szCs w:val="20"/>
                <w:color w:val="auto"/>
              </w:rPr>
            </w:pPr>
            <w:r>
              <w:rPr>
                <w:rFonts w:ascii="Arial" w:cs="Arial" w:eastAsia="Arial" w:hAnsi="Arial"/>
                <w:sz w:val="18"/>
                <w:szCs w:val="18"/>
                <w:color w:val="auto"/>
              </w:rPr>
              <w:t>Dec. 31,</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00"/>
              <w:spacing w:after="0" w:line="194" w:lineRule="exact"/>
              <w:rPr>
                <w:sz w:val="20"/>
                <w:szCs w:val="20"/>
                <w:color w:val="auto"/>
              </w:rPr>
            </w:pPr>
            <w:r>
              <w:rPr>
                <w:rFonts w:ascii="Arial" w:cs="Arial" w:eastAsia="Arial" w:hAnsi="Arial"/>
                <w:sz w:val="18"/>
                <w:szCs w:val="18"/>
                <w:color w:val="auto"/>
              </w:rPr>
              <w:t>Sept. 30,</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100"/>
              <w:spacing w:after="0" w:line="194" w:lineRule="exact"/>
              <w:rPr>
                <w:sz w:val="20"/>
                <w:szCs w:val="20"/>
                <w:color w:val="auto"/>
              </w:rPr>
            </w:pPr>
            <w:r>
              <w:rPr>
                <w:rFonts w:ascii="Arial" w:cs="Arial" w:eastAsia="Arial" w:hAnsi="Arial"/>
                <w:sz w:val="18"/>
                <w:szCs w:val="18"/>
                <w:color w:val="auto"/>
              </w:rPr>
              <w:t>Jun. 30,</w:t>
            </w: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line="194" w:lineRule="exact"/>
              <w:rPr>
                <w:sz w:val="20"/>
                <w:szCs w:val="20"/>
                <w:color w:val="auto"/>
              </w:rPr>
            </w:pPr>
            <w:r>
              <w:rPr>
                <w:rFonts w:ascii="Arial" w:cs="Arial" w:eastAsia="Arial" w:hAnsi="Arial"/>
                <w:sz w:val="18"/>
                <w:szCs w:val="18"/>
                <w:color w:val="auto"/>
              </w:rPr>
              <w:t>Mar. 31,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1"/>
              <w:spacing w:after="0" w:line="194" w:lineRule="exact"/>
              <w:rPr>
                <w:sz w:val="20"/>
                <w:szCs w:val="20"/>
                <w:color w:val="auto"/>
              </w:rPr>
            </w:pPr>
            <w:r>
              <w:rPr>
                <w:rFonts w:ascii="Arial" w:cs="Arial" w:eastAsia="Arial" w:hAnsi="Arial"/>
                <w:sz w:val="18"/>
                <w:szCs w:val="18"/>
                <w:color w:val="auto"/>
                <w:w w:val="98"/>
              </w:rPr>
              <w:t>Dec. 31,</w:t>
            </w:r>
          </w:p>
        </w:tc>
        <w:tc>
          <w:tcPr>
            <w:tcW w:w="100" w:type="dxa"/>
            <w:vAlign w:val="bottom"/>
          </w:tcPr>
          <w:p>
            <w:pPr>
              <w:spacing w:after="0"/>
              <w:rPr>
                <w:sz w:val="16"/>
                <w:szCs w:val="16"/>
                <w:color w:val="auto"/>
              </w:rPr>
            </w:pPr>
          </w:p>
        </w:tc>
      </w:tr>
      <w:tr>
        <w:trPr>
          <w:trHeight w:val="227"/>
        </w:trPr>
        <w:tc>
          <w:tcPr>
            <w:tcW w:w="4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08"/>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Fleet Vehicles and 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228,870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286,955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302,236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305,876</w:t>
            </w:r>
          </w:p>
        </w:tc>
      </w:tr>
      <w:tr>
        <w:trPr>
          <w:trHeight w:val="213"/>
        </w:trPr>
        <w:tc>
          <w:tcPr>
            <w:tcW w:w="4620" w:type="dxa"/>
            <w:vAlign w:val="bottom"/>
          </w:tcPr>
          <w:p>
            <w:pPr>
              <w:ind w:left="160"/>
              <w:spacing w:after="0"/>
              <w:rPr>
                <w:sz w:val="20"/>
                <w:szCs w:val="20"/>
                <w:color w:val="auto"/>
              </w:rPr>
            </w:pPr>
            <w:r>
              <w:rPr>
                <w:rFonts w:ascii="Arial" w:cs="Arial" w:eastAsia="Arial" w:hAnsi="Arial"/>
                <w:sz w:val="18"/>
                <w:szCs w:val="18"/>
                <w:color w:val="auto"/>
              </w:rPr>
              <w:t>Motorhome Chassis *</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31,580</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40,387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38,804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30,641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20,097</w:t>
            </w:r>
          </w:p>
        </w:tc>
      </w:tr>
      <w:tr>
        <w:trPr>
          <w:trHeight w:val="213"/>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Vehicles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19,431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11,621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10,062</w:t>
            </w:r>
          </w:p>
        </w:tc>
      </w:tr>
      <w:tr>
        <w:trPr>
          <w:trHeight w:val="213"/>
        </w:trPr>
        <w:tc>
          <w:tcPr>
            <w:tcW w:w="4620" w:type="dxa"/>
            <w:vAlign w:val="bottom"/>
          </w:tcPr>
          <w:p>
            <w:pPr>
              <w:ind w:left="160"/>
              <w:spacing w:after="0"/>
              <w:rPr>
                <w:sz w:val="20"/>
                <w:szCs w:val="20"/>
                <w:color w:val="auto"/>
              </w:rPr>
            </w:pPr>
            <w:r>
              <w:rPr>
                <w:rFonts w:ascii="Arial" w:cs="Arial" w:eastAsia="Arial" w:hAnsi="Arial"/>
                <w:sz w:val="18"/>
                <w:szCs w:val="18"/>
                <w:color w:val="auto"/>
              </w:rPr>
              <w:t>Aftermarket Parts and Accessories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r>
      <w:tr>
        <w:trPr>
          <w:trHeight w:val="20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Specialty Vehicles</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51,313</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51,756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50,540</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30,734</w:t>
            </w:r>
          </w:p>
        </w:tc>
      </w:tr>
      <w:tr>
        <w:trPr>
          <w:trHeight w:val="213"/>
        </w:trPr>
        <w:tc>
          <w:tcPr>
            <w:tcW w:w="4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Backlog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478,651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280,626</w:t>
            </w: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337,495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344,655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336,610</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680" w:firstLine="7"/>
        <w:spacing w:after="0" w:line="270" w:lineRule="auto"/>
        <w:tabs>
          <w:tab w:leader="none" w:pos="133"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time to fill backlog orders at December 31, 2020; five - seven months for Fleet Vehicles and Services; approximately three months for Specialty Vehicles.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Reconciliation of Non-GAAP Financial Measures</w:t>
      </w:r>
    </w:p>
    <w:p>
      <w:pPr>
        <w:spacing w:after="0" w:line="19"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This release presents Adjusted EBITDA (earnings before interest, taxes, depreciation and amortization), adjusted net income, and adjusted earnings per share, each of which is a non-GAAP financial measure. These non-GAAP measure are calculated by excluding items that we believe to be infrequent or not indicative of our underlying operating performance, as well as certain non-cash expenses. We define Adjusted EBITDA as income from continuing operations before interest, income taxes, depreciation and amortization, as adjusted to eliminate the impact of restructuring charges, acquisition related expenses and adjustments, non-cash stock-based compensation expenses, and other gains and losses not reflective of our ongoing operations.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present the non-GAAP measure Adjusted EBITDA because we consider it to be an important supplemental measure of our performance. The presentation of Adjusted EBITDA enables investors to better understand our operations by removing items that we believe are not representative of our continuing operations and may distort our longer-term operating trends. We believe this measure to be useful to improve the comparability of our results from period to period and with our competitors, as well as to show ongoing results from operations distinct from items that are infrequent or not indicative of our continuing operating performance. We believe that presenting this non-GAAP measure is useful to investors because it permits investors to view performance using the same tools that management uses to budget, make operating and strategic decisions, and evaluate our historical performance. We believe that the presentation of this non-GAAP measure, when considered together with the corresponding GAAP financial measures and the reconciliations to that measure, provides investors with additional understanding of the factors and trends affecting our business than could be obtained in the absence of this disclosure.</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management uses Adjusted EBITDA to evaluate the performance of and allocate resources to our segments. Adjusted EBITDA is also used, along with other financial and non-financial measures, for purposes of determining annual incentive compensation for our management team and long-term incentive compensation for certain members of our management team.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Financial Summary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6"/>
                <w:szCs w:val="16"/>
                <w:b w:val="1"/>
                <w:bCs w:val="1"/>
                <w:color w:val="auto"/>
                <w:w w:val="91"/>
              </w:rPr>
              <w:t>Three Months Ended December 31,</w:t>
            </w:r>
          </w:p>
        </w:tc>
        <w:tc>
          <w:tcPr>
            <w:tcW w:w="7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6"/>
                <w:szCs w:val="16"/>
                <w:b w:val="1"/>
                <w:bCs w:val="1"/>
                <w:color w:val="auto"/>
              </w:rPr>
              <w:t>Twelve Months Ended December 31,</w:t>
            </w: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rPr>
              <w:t>2020</w:t>
            </w:r>
          </w:p>
        </w:tc>
        <w:tc>
          <w:tcPr>
            <w:tcW w:w="300" w:type="dxa"/>
            <w:vAlign w:val="bottom"/>
          </w:tcPr>
          <w:p>
            <w:pPr>
              <w:spacing w:after="0"/>
              <w:rPr>
                <w:sz w:val="16"/>
                <w:szCs w:val="16"/>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6"/>
                <w:szCs w:val="16"/>
                <w:color w:val="auto"/>
              </w:rPr>
              <w:t>% of</w:t>
            </w:r>
          </w:p>
        </w:tc>
        <w:tc>
          <w:tcPr>
            <w:tcW w:w="180" w:type="dxa"/>
            <w:vAlign w:val="bottom"/>
          </w:tcPr>
          <w:p>
            <w:pPr>
              <w:spacing w:after="0"/>
              <w:rPr>
                <w:sz w:val="16"/>
                <w:szCs w:val="16"/>
                <w:color w:val="auto"/>
              </w:rPr>
            </w:pPr>
          </w:p>
        </w:tc>
        <w:tc>
          <w:tcPr>
            <w:tcW w:w="70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6"/>
                <w:szCs w:val="16"/>
                <w:color w:val="auto"/>
              </w:rPr>
              <w:t>% of</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rPr>
              <w:t>2020</w:t>
            </w:r>
          </w:p>
        </w:tc>
        <w:tc>
          <w:tcPr>
            <w:tcW w:w="280" w:type="dxa"/>
            <w:vAlign w:val="bottom"/>
          </w:tcPr>
          <w:p>
            <w:pPr>
              <w:spacing w:after="0"/>
              <w:rPr>
                <w:sz w:val="16"/>
                <w:szCs w:val="16"/>
                <w:color w:val="auto"/>
              </w:rPr>
            </w:pPr>
          </w:p>
        </w:tc>
        <w:tc>
          <w:tcPr>
            <w:tcW w:w="540" w:type="dxa"/>
            <w:vAlign w:val="bottom"/>
          </w:tcPr>
          <w:p>
            <w:pPr>
              <w:ind w:left="220"/>
              <w:spacing w:after="0"/>
              <w:rPr>
                <w:sz w:val="20"/>
                <w:szCs w:val="20"/>
                <w:color w:val="auto"/>
              </w:rPr>
            </w:pPr>
            <w:r>
              <w:rPr>
                <w:rFonts w:ascii="Arial" w:cs="Arial" w:eastAsia="Arial" w:hAnsi="Arial"/>
                <w:sz w:val="16"/>
                <w:szCs w:val="16"/>
                <w:color w:val="auto"/>
                <w:w w:val="93"/>
              </w:rPr>
              <w:t>% of</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6"/>
                <w:szCs w:val="16"/>
                <w:color w:val="auto"/>
              </w:rPr>
            </w:pPr>
          </w:p>
        </w:tc>
        <w:tc>
          <w:tcPr>
            <w:tcW w:w="720" w:type="dxa"/>
            <w:vAlign w:val="bottom"/>
          </w:tcPr>
          <w:p>
            <w:pPr>
              <w:ind w:left="140"/>
              <w:spacing w:after="0"/>
              <w:rPr>
                <w:sz w:val="20"/>
                <w:szCs w:val="20"/>
                <w:color w:val="auto"/>
              </w:rPr>
            </w:pPr>
            <w:r>
              <w:rPr>
                <w:rFonts w:ascii="Arial" w:cs="Arial" w:eastAsia="Arial" w:hAnsi="Arial"/>
                <w:sz w:val="16"/>
                <w:szCs w:val="16"/>
                <w:color w:val="auto"/>
              </w:rPr>
              <w:t>% of</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6"/>
                <w:szCs w:val="16"/>
                <w:b w:val="1"/>
                <w:bCs w:val="1"/>
                <w:color w:val="auto"/>
              </w:rPr>
              <w:t>The Shyft Group, Inc.</w:t>
            </w: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6"/>
                <w:szCs w:val="16"/>
                <w:color w:val="auto"/>
              </w:rPr>
              <w:t>sales</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color w:val="auto"/>
              </w:rPr>
              <w:t>sales</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ind w:left="220"/>
              <w:spacing w:after="0"/>
              <w:rPr>
                <w:sz w:val="20"/>
                <w:szCs w:val="20"/>
                <w:color w:val="auto"/>
              </w:rPr>
            </w:pPr>
            <w:r>
              <w:rPr>
                <w:rFonts w:ascii="Arial" w:cs="Arial" w:eastAsia="Arial" w:hAnsi="Arial"/>
                <w:sz w:val="16"/>
                <w:szCs w:val="16"/>
                <w:color w:val="auto"/>
                <w:w w:val="80"/>
              </w:rPr>
              <w:t>sales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Arial" w:cs="Arial" w:eastAsia="Arial" w:hAnsi="Arial"/>
                <w:sz w:val="16"/>
                <w:szCs w:val="16"/>
                <w:color w:val="auto"/>
              </w:rPr>
              <w:t>sales</w:t>
            </w: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Income from continuing</w:t>
            </w: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operations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14,285</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38,289</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36,790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0"/>
        </w:trPr>
        <w:tc>
          <w:tcPr>
            <w:tcW w:w="2380" w:type="dxa"/>
            <w:vAlign w:val="bottom"/>
          </w:tcPr>
          <w:p>
            <w:pPr>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(169)</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(154)</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(347)</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(140)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Add (subtract):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80" w:type="dxa"/>
            <w:vAlign w:val="bottom"/>
          </w:tcPr>
          <w:p>
            <w:pPr>
              <w:spacing w:after="0"/>
              <w:rPr>
                <w:sz w:val="20"/>
                <w:szCs w:val="20"/>
                <w:color w:val="auto"/>
              </w:rPr>
            </w:pPr>
            <w:r>
              <w:rPr>
                <w:rFonts w:ascii="Arial" w:cs="Arial" w:eastAsia="Arial" w:hAnsi="Arial"/>
                <w:sz w:val="16"/>
                <w:szCs w:val="16"/>
                <w:color w:val="auto"/>
              </w:rPr>
              <w:t>Restructuring and other related</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20"/>
                <w:szCs w:val="20"/>
                <w:color w:val="auto"/>
              </w:rPr>
            </w:pPr>
            <w:r>
              <w:rPr>
                <w:rFonts w:ascii="Arial" w:cs="Arial" w:eastAsia="Arial" w:hAnsi="Arial"/>
                <w:sz w:val="16"/>
                <w:szCs w:val="16"/>
                <w:color w:val="auto"/>
              </w:rPr>
              <w:t>charges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46</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1,873</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316</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Acquisition related expenses and</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adjustments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1,544</w:t>
            </w: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3,531</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80" w:type="dxa"/>
            <w:vAlign w:val="bottom"/>
          </w:tcPr>
          <w:p>
            <w:pPr>
              <w:spacing w:after="0"/>
              <w:rPr>
                <w:sz w:val="20"/>
                <w:szCs w:val="20"/>
                <w:color w:val="auto"/>
              </w:rPr>
            </w:pPr>
            <w:r>
              <w:rPr>
                <w:rFonts w:ascii="Arial" w:cs="Arial" w:eastAsia="Arial" w:hAnsi="Arial"/>
                <w:sz w:val="16"/>
                <w:szCs w:val="16"/>
                <w:color w:val="auto"/>
              </w:rPr>
              <w:t>Non-cash stock-based</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20"/>
                <w:szCs w:val="20"/>
                <w:color w:val="auto"/>
              </w:rPr>
            </w:pPr>
            <w:r>
              <w:rPr>
                <w:rFonts w:ascii="Arial" w:cs="Arial" w:eastAsia="Arial" w:hAnsi="Arial"/>
                <w:sz w:val="16"/>
                <w:szCs w:val="16"/>
                <w:color w:val="auto"/>
              </w:rPr>
              <w:t>compensation expense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1,525</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1,403</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7,706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5,281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Loss from write-off of</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process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80" w:type="dxa"/>
            <w:vAlign w:val="bottom"/>
          </w:tcPr>
          <w:p>
            <w:pPr>
              <w:spacing w:after="0"/>
              <w:rPr>
                <w:sz w:val="20"/>
                <w:szCs w:val="20"/>
                <w:color w:val="auto"/>
              </w:rPr>
            </w:pPr>
            <w:r>
              <w:rPr>
                <w:rFonts w:ascii="Arial" w:cs="Arial" w:eastAsia="Arial" w:hAnsi="Arial"/>
                <w:sz w:val="16"/>
                <w:szCs w:val="16"/>
                <w:color w:val="auto"/>
              </w:rPr>
              <w:t>Accelerated depreciation of</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366</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3,061</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w w:val="96"/>
              </w:rPr>
              <w:t>Favorable tax rate in income taxes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receivable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(2,610)</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20"/>
                <w:szCs w:val="20"/>
                <w:color w:val="auto"/>
              </w:rPr>
            </w:pPr>
            <w:r>
              <w:rPr>
                <w:rFonts w:ascii="Arial" w:cs="Arial" w:eastAsia="Arial" w:hAnsi="Arial"/>
                <w:sz w:val="16"/>
                <w:szCs w:val="16"/>
                <w:color w:val="auto"/>
              </w:rPr>
              <w:t>Deferred tax asset adjustment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376</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135</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Tax effect of adjustments</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(441)</w:t>
            </w:r>
          </w:p>
        </w:tc>
        <w:tc>
          <w:tcPr>
            <w:tcW w:w="8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(619)</w:t>
            </w:r>
          </w:p>
        </w:tc>
        <w:tc>
          <w:tcPr>
            <w:tcW w:w="7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(3,892)</w:t>
            </w:r>
          </w:p>
        </w:tc>
        <w:tc>
          <w:tcPr>
            <w:tcW w:w="5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(2,056)</w:t>
            </w:r>
          </w:p>
        </w:tc>
        <w:tc>
          <w:tcPr>
            <w:tcW w:w="7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Arial" w:cs="Arial" w:eastAsia="Arial" w:hAnsi="Arial"/>
                <w:sz w:val="16"/>
                <w:szCs w:val="16"/>
                <w:color w:val="auto"/>
              </w:rPr>
              <w:t>Adjusted net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10,069</w:t>
            </w:r>
          </w:p>
        </w:tc>
        <w:tc>
          <w:tcPr>
            <w:tcW w:w="3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5.9%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16,505</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48,218</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7.1%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43,857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380" w:type="dxa"/>
            <w:vAlign w:val="bottom"/>
          </w:tcPr>
          <w:p>
            <w:pPr>
              <w:spacing w:after="0"/>
              <w:rPr>
                <w:sz w:val="20"/>
                <w:szCs w:val="20"/>
                <w:color w:val="auto"/>
              </w:rPr>
            </w:pPr>
            <w:r>
              <w:rPr>
                <w:rFonts w:ascii="Arial" w:cs="Arial" w:eastAsia="Arial" w:hAnsi="Arial"/>
                <w:sz w:val="16"/>
                <w:szCs w:val="16"/>
                <w:color w:val="auto"/>
              </w:rPr>
              <w:t>Income from continuing</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20"/>
                <w:szCs w:val="20"/>
                <w:color w:val="auto"/>
              </w:rPr>
            </w:pPr>
            <w:r>
              <w:rPr>
                <w:rFonts w:ascii="Arial" w:cs="Arial" w:eastAsia="Arial" w:hAnsi="Arial"/>
                <w:sz w:val="16"/>
                <w:szCs w:val="16"/>
                <w:color w:val="auto"/>
              </w:rPr>
              <w:t>operations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8,306</w:t>
            </w:r>
          </w:p>
        </w:tc>
        <w:tc>
          <w:tcPr>
            <w:tcW w:w="3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4.8%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14,285</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38,289</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5.7%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36,790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(169)</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(154)</w:t>
            </w: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(347)</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(140)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20"/>
                <w:szCs w:val="20"/>
                <w:color w:val="auto"/>
              </w:rPr>
            </w:pPr>
            <w:r>
              <w:rPr>
                <w:rFonts w:ascii="Arial" w:cs="Arial" w:eastAsia="Arial" w:hAnsi="Arial"/>
                <w:sz w:val="16"/>
                <w:szCs w:val="16"/>
                <w:color w:val="auto"/>
              </w:rPr>
              <w:t>Add (subtract):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3,065</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2,028</w:t>
            </w:r>
          </w:p>
        </w:tc>
        <w:tc>
          <w:tcPr>
            <w:tcW w:w="7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13,903</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6,073</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20"/>
                <w:szCs w:val="20"/>
                <w:color w:val="auto"/>
              </w:rPr>
            </w:pPr>
            <w:r>
              <w:rPr>
                <w:rFonts w:ascii="Arial" w:cs="Arial" w:eastAsia="Arial" w:hAnsi="Arial"/>
                <w:sz w:val="16"/>
                <w:szCs w:val="16"/>
                <w:color w:val="auto"/>
              </w:rPr>
              <w:t>Taxes on income</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2,783</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3,426</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9,867</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10,355</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1,008</w:t>
            </w:r>
          </w:p>
        </w:tc>
        <w:tc>
          <w:tcPr>
            <w:tcW w:w="7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1,839</w:t>
            </w:r>
          </w:p>
        </w:tc>
        <w:tc>
          <w:tcPr>
            <w:tcW w:w="7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80" w:type="dxa"/>
            <w:vAlign w:val="bottom"/>
          </w:tcPr>
          <w:p>
            <w:pPr>
              <w:spacing w:after="0"/>
              <w:rPr>
                <w:sz w:val="20"/>
                <w:szCs w:val="20"/>
                <w:color w:val="auto"/>
              </w:rPr>
            </w:pPr>
            <w:r>
              <w:rPr>
                <w:rFonts w:ascii="Arial" w:cs="Arial" w:eastAsia="Arial" w:hAnsi="Arial"/>
                <w:sz w:val="16"/>
                <w:szCs w:val="16"/>
                <w:color w:val="auto"/>
              </w:rPr>
              <w:t>EBITDA</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14,076</w:t>
            </w:r>
          </w:p>
        </w:tc>
        <w:tc>
          <w:tcPr>
            <w:tcW w:w="3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8.2%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20,593</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11.4%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63,005</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9.3%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54,917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0"/>
        </w:trPr>
        <w:tc>
          <w:tcPr>
            <w:tcW w:w="2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20"/>
                <w:szCs w:val="20"/>
                <w:color w:val="auto"/>
              </w:rPr>
            </w:pPr>
            <w:r>
              <w:rPr>
                <w:rFonts w:ascii="Arial" w:cs="Arial" w:eastAsia="Arial" w:hAnsi="Arial"/>
                <w:sz w:val="16"/>
                <w:szCs w:val="16"/>
                <w:color w:val="auto"/>
              </w:rPr>
              <w:t>Add (subtract):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Restructuring and other related</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charges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46</w:t>
            </w: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316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80" w:type="dxa"/>
            <w:vAlign w:val="bottom"/>
          </w:tcPr>
          <w:p>
            <w:pPr>
              <w:spacing w:after="0"/>
              <w:rPr>
                <w:sz w:val="20"/>
                <w:szCs w:val="20"/>
                <w:color w:val="auto"/>
              </w:rPr>
            </w:pPr>
            <w:r>
              <w:rPr>
                <w:rFonts w:ascii="Arial" w:cs="Arial" w:eastAsia="Arial" w:hAnsi="Arial"/>
                <w:sz w:val="16"/>
                <w:szCs w:val="16"/>
                <w:color w:val="auto"/>
              </w:rPr>
              <w:t>Acquisition related expenses and</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20"/>
                <w:szCs w:val="20"/>
                <w:color w:val="auto"/>
              </w:rPr>
            </w:pPr>
            <w:r>
              <w:rPr>
                <w:rFonts w:ascii="Arial" w:cs="Arial" w:eastAsia="Arial" w:hAnsi="Arial"/>
                <w:sz w:val="16"/>
                <w:szCs w:val="16"/>
                <w:color w:val="auto"/>
              </w:rPr>
              <w:t>adjustments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410</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1,544</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1,332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3,531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Non-cash stock-based</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compensation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1,403</w:t>
            </w: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7,706</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5,281</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80" w:type="dxa"/>
            <w:vAlign w:val="bottom"/>
          </w:tcPr>
          <w:p>
            <w:pPr>
              <w:spacing w:after="0"/>
              <w:rPr>
                <w:sz w:val="20"/>
                <w:szCs w:val="20"/>
                <w:color w:val="auto"/>
              </w:rPr>
            </w:pPr>
            <w:r>
              <w:rPr>
                <w:rFonts w:ascii="Arial" w:cs="Arial" w:eastAsia="Arial" w:hAnsi="Arial"/>
                <w:sz w:val="16"/>
                <w:szCs w:val="16"/>
                <w:color w:val="auto"/>
              </w:rPr>
              <w:t>Loss from write-off of</w:t>
            </w:r>
          </w:p>
        </w:tc>
        <w:tc>
          <w:tcPr>
            <w:tcW w:w="1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2,430</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80" w:type="dxa"/>
            <w:vAlign w:val="bottom"/>
          </w:tcPr>
          <w:p>
            <w:pPr>
              <w:spacing w:after="0"/>
              <w:rPr>
                <w:sz w:val="20"/>
                <w:szCs w:val="20"/>
                <w:color w:val="auto"/>
              </w:rPr>
            </w:pPr>
            <w:r>
              <w:rPr>
                <w:rFonts w:ascii="Arial" w:cs="Arial" w:eastAsia="Arial" w:hAnsi="Arial"/>
                <w:sz w:val="16"/>
                <w:szCs w:val="16"/>
                <w:color w:val="auto"/>
              </w:rPr>
              <w:t>construction in process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vMerge w:val="continue"/>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vMerge w:val="continue"/>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16,027</w:t>
            </w: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23,586</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76,346</w:t>
            </w:r>
          </w:p>
        </w:tc>
        <w:tc>
          <w:tcPr>
            <w:tcW w:w="2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3"/>
              </w:rPr>
              <w:t>11.3%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64,045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80"/>
        </w:trPr>
        <w:tc>
          <w:tcPr>
            <w:tcW w:w="23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Diluted net earnings per share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0.40</w:t>
            </w:r>
          </w:p>
        </w:tc>
        <w:tc>
          <w:tcPr>
            <w:tcW w:w="7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1.03</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20"/>
                <w:szCs w:val="20"/>
                <w:color w:val="auto"/>
              </w:rPr>
            </w:pPr>
            <w:r>
              <w:rPr>
                <w:rFonts w:ascii="Arial" w:cs="Arial" w:eastAsia="Arial" w:hAnsi="Arial"/>
                <w:sz w:val="16"/>
                <w:szCs w:val="16"/>
                <w:color w:val="auto"/>
              </w:rPr>
              <w:t>Add (subtract):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Restructuring and other related</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charges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80" w:type="dxa"/>
            <w:vAlign w:val="bottom"/>
          </w:tcPr>
          <w:p>
            <w:pPr>
              <w:spacing w:after="0"/>
              <w:rPr>
                <w:sz w:val="20"/>
                <w:szCs w:val="20"/>
                <w:color w:val="auto"/>
              </w:rPr>
            </w:pPr>
            <w:r>
              <w:rPr>
                <w:rFonts w:ascii="Arial" w:cs="Arial" w:eastAsia="Arial" w:hAnsi="Arial"/>
                <w:sz w:val="16"/>
                <w:szCs w:val="16"/>
                <w:color w:val="auto"/>
              </w:rPr>
              <w:t>Acquisition related expenses and</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20"/>
                <w:szCs w:val="20"/>
                <w:color w:val="auto"/>
              </w:rPr>
            </w:pPr>
            <w:r>
              <w:rPr>
                <w:rFonts w:ascii="Arial" w:cs="Arial" w:eastAsia="Arial" w:hAnsi="Arial"/>
                <w:sz w:val="16"/>
                <w:szCs w:val="16"/>
                <w:color w:val="auto"/>
              </w:rPr>
              <w:t>adjustments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0.01</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0.04</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0.04</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0.11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Non-cash stock-based</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compensation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0.05</w:t>
            </w: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0.15</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80" w:type="dxa"/>
            <w:vAlign w:val="bottom"/>
          </w:tcPr>
          <w:p>
            <w:pPr>
              <w:spacing w:after="0"/>
              <w:rPr>
                <w:sz w:val="20"/>
                <w:szCs w:val="20"/>
                <w:color w:val="auto"/>
              </w:rPr>
            </w:pPr>
            <w:r>
              <w:rPr>
                <w:rFonts w:ascii="Arial" w:cs="Arial" w:eastAsia="Arial" w:hAnsi="Arial"/>
                <w:sz w:val="16"/>
                <w:szCs w:val="16"/>
                <w:color w:val="auto"/>
              </w:rPr>
              <w:t>Loss from write-off of</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20"/>
                <w:szCs w:val="20"/>
                <w:color w:val="auto"/>
              </w:rPr>
            </w:pPr>
            <w:r>
              <w:rPr>
                <w:rFonts w:ascii="Arial" w:cs="Arial" w:eastAsia="Arial" w:hAnsi="Arial"/>
                <w:sz w:val="16"/>
                <w:szCs w:val="16"/>
                <w:color w:val="auto"/>
              </w:rPr>
              <w:t>construction in process</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0.07</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Accelerated depreciation of</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20"/>
                <w:szCs w:val="20"/>
                <w:color w:val="auto"/>
              </w:rPr>
            </w:pPr>
            <w:r>
              <w:rPr>
                <w:rFonts w:ascii="Arial" w:cs="Arial" w:eastAsia="Arial" w:hAnsi="Arial"/>
                <w:sz w:val="16"/>
                <w:szCs w:val="16"/>
                <w:color w:val="auto"/>
              </w:rPr>
              <w:t>Deferred tax asset adjustment</w:t>
            </w:r>
          </w:p>
        </w:tc>
        <w:tc>
          <w:tcPr>
            <w:tcW w:w="1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0.01</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w w:val="96"/>
              </w:rPr>
              <w:t>Favorable tax rate in income taxes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receivable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(0.07)</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20"/>
                <w:szCs w:val="20"/>
                <w:color w:val="auto"/>
              </w:rPr>
            </w:pPr>
            <w:r>
              <w:rPr>
                <w:rFonts w:ascii="Arial" w:cs="Arial" w:eastAsia="Arial" w:hAnsi="Arial"/>
                <w:sz w:val="16"/>
                <w:szCs w:val="16"/>
                <w:color w:val="auto"/>
              </w:rPr>
              <w:t>Tax effect of adjustments</w:t>
            </w: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(0.01)</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(0.02)</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(0.11)</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(0.05)</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Adjusted diluted net earnings per</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6"/>
                <w:szCs w:val="16"/>
                <w:color w:val="auto"/>
              </w:rPr>
              <w:t>0.47</w:t>
            </w:r>
          </w:p>
        </w:tc>
        <w:tc>
          <w:tcPr>
            <w:tcW w:w="76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6"/>
                <w:szCs w:val="16"/>
                <w:color w:val="auto"/>
              </w:rPr>
              <w:t>1.24</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38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share</w:t>
            </w:r>
          </w:p>
        </w:tc>
        <w:tc>
          <w:tcPr>
            <w:tcW w:w="18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Shyft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Add:</w:t>
      </w:r>
    </w:p>
    <w:p>
      <w:pPr>
        <w:spacing w:after="0" w:line="6" w:lineRule="exact"/>
        <w:rPr>
          <w:sz w:val="20"/>
          <w:szCs w:val="20"/>
          <w:color w:val="auto"/>
        </w:rPr>
      </w:pPr>
    </w:p>
    <w:p>
      <w:pPr>
        <w:ind w:right="1740"/>
        <w:spacing w:after="0" w:line="278" w:lineRule="auto"/>
        <w:rPr>
          <w:sz w:val="20"/>
          <w:szCs w:val="20"/>
          <w:color w:val="auto"/>
        </w:rPr>
      </w:pPr>
      <w:r>
        <w:rPr>
          <w:rFonts w:ascii="Arial" w:cs="Arial" w:eastAsia="Arial" w:hAnsi="Arial"/>
          <w:sz w:val="16"/>
          <w:szCs w:val="16"/>
          <w:color w:val="auto"/>
        </w:rPr>
        <w:t>Depreciation and amortization Interest expense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Add (subtract):</w:t>
      </w:r>
    </w:p>
    <w:p>
      <w:pPr>
        <w:spacing w:after="0" w:line="7"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Non-cash stock-based compensation and other charges Adjusted EBITDA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Add:</w:t>
      </w:r>
    </w:p>
    <w:p>
      <w:pPr>
        <w:spacing w:after="0" w:line="6"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Non-cash stock-based compensation and other charges Less tax effect of adjustments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Adjusted earnings per share</w:t>
      </w:r>
    </w:p>
    <w:p>
      <w:pPr>
        <w:spacing w:after="0" w:line="20" w:lineRule="exact"/>
        <w:rPr>
          <w:sz w:val="20"/>
          <w:szCs w:val="20"/>
          <w:color w:val="auto"/>
        </w:rPr>
      </w:pPr>
      <w:r>
        <w:rPr>
          <w:sz w:val="20"/>
          <w:szCs w:val="20"/>
          <w:color w:val="auto"/>
        </w:rPr>
        <w:br w:type="column"/>
      </w:r>
    </w:p>
    <w:p>
      <w:pPr>
        <w:jc w:val="center"/>
        <w:ind w:right="3720"/>
        <w:spacing w:after="0"/>
        <w:rPr>
          <w:sz w:val="20"/>
          <w:szCs w:val="20"/>
          <w:color w:val="auto"/>
        </w:rPr>
      </w:pPr>
      <w:r>
        <w:rPr>
          <w:rFonts w:ascii="Arial" w:cs="Arial" w:eastAsia="Arial" w:hAnsi="Arial"/>
          <w:sz w:val="17"/>
          <w:szCs w:val="17"/>
          <w:b w:val="1"/>
          <w:bCs w:val="1"/>
          <w:color w:val="auto"/>
        </w:rPr>
        <w:t>Financial Summary (Non-GAAP)</w:t>
      </w:r>
    </w:p>
    <w:p>
      <w:pPr>
        <w:spacing w:after="0" w:line="35" w:lineRule="exact"/>
        <w:rPr>
          <w:sz w:val="20"/>
          <w:szCs w:val="20"/>
          <w:color w:val="auto"/>
        </w:rPr>
      </w:pPr>
    </w:p>
    <w:p>
      <w:pPr>
        <w:jc w:val="center"/>
        <w:ind w:right="3720"/>
        <w:spacing w:after="0"/>
        <w:rPr>
          <w:sz w:val="20"/>
          <w:szCs w:val="20"/>
          <w:color w:val="auto"/>
        </w:rPr>
      </w:pPr>
      <w:r>
        <w:rPr>
          <w:rFonts w:ascii="Arial" w:cs="Arial" w:eastAsia="Arial" w:hAnsi="Arial"/>
          <w:sz w:val="18"/>
          <w:szCs w:val="18"/>
          <w:b w:val="1"/>
          <w:bCs w:val="1"/>
          <w:color w:val="auto"/>
        </w:rPr>
        <w:t>Consolidated</w:t>
      </w:r>
    </w:p>
    <w:p>
      <w:pPr>
        <w:spacing w:after="0" w:line="6" w:lineRule="exact"/>
        <w:rPr>
          <w:sz w:val="20"/>
          <w:szCs w:val="20"/>
          <w:color w:val="auto"/>
        </w:rPr>
      </w:pPr>
    </w:p>
    <w:p>
      <w:pPr>
        <w:jc w:val="center"/>
        <w:ind w:right="3720"/>
        <w:spacing w:after="0"/>
        <w:rPr>
          <w:sz w:val="20"/>
          <w:szCs w:val="20"/>
          <w:color w:val="auto"/>
        </w:rPr>
      </w:pPr>
      <w:r>
        <w:rPr>
          <w:rFonts w:ascii="Arial" w:cs="Arial" w:eastAsia="Arial" w:hAnsi="Arial"/>
          <w:sz w:val="14"/>
          <w:szCs w:val="14"/>
          <w:color w:val="auto"/>
        </w:rPr>
        <w:t>(In thousands, except per share data)</w:t>
      </w:r>
    </w:p>
    <w:p>
      <w:pPr>
        <w:spacing w:after="0" w:line="52" w:lineRule="exact"/>
        <w:rPr>
          <w:sz w:val="20"/>
          <w:szCs w:val="20"/>
          <w:color w:val="auto"/>
        </w:rPr>
      </w:pPr>
    </w:p>
    <w:p>
      <w:pPr>
        <w:jc w:val="center"/>
        <w:ind w:right="3720"/>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p>
      <w:pPr>
        <w:jc w:val="center"/>
        <w:ind w:left="-339"/>
        <w:spacing w:after="0"/>
        <w:rPr>
          <w:sz w:val="20"/>
          <w:szCs w:val="20"/>
          <w:color w:val="auto"/>
        </w:rPr>
      </w:pPr>
      <w:r>
        <w:rPr>
          <w:rFonts w:ascii="Arial" w:cs="Arial" w:eastAsia="Arial" w:hAnsi="Arial"/>
          <w:sz w:val="18"/>
          <w:szCs w:val="18"/>
          <w:b w:val="1"/>
          <w:bCs w:val="1"/>
          <w:color w:val="auto"/>
        </w:rPr>
        <w:t>Forecast</w:t>
      </w:r>
    </w:p>
    <w:p>
      <w:pPr>
        <w:spacing w:after="0" w:line="23" w:lineRule="exact"/>
        <w:rPr>
          <w:sz w:val="20"/>
          <w:szCs w:val="20"/>
          <w:color w:val="auto"/>
        </w:rPr>
      </w:pPr>
    </w:p>
    <w:p>
      <w:pPr>
        <w:jc w:val="center"/>
        <w:ind w:left="-339"/>
        <w:spacing w:after="0"/>
        <w:rPr>
          <w:sz w:val="20"/>
          <w:szCs w:val="20"/>
          <w:color w:val="auto"/>
        </w:rPr>
      </w:pPr>
      <w:r>
        <w:rPr>
          <w:rFonts w:ascii="Arial" w:cs="Arial" w:eastAsia="Arial" w:hAnsi="Arial"/>
          <w:sz w:val="18"/>
          <w:szCs w:val="18"/>
          <w:b w:val="1"/>
          <w:bCs w:val="1"/>
          <w:color w:val="auto"/>
        </w:rPr>
        <w:t>Twelve Months Ended December 31, 2021</w:t>
      </w:r>
    </w:p>
    <w:p>
      <w:pPr>
        <w:spacing w:after="0" w:line="6" w:lineRule="exact"/>
        <w:rPr>
          <w:sz w:val="20"/>
          <w:szCs w:val="20"/>
          <w:color w:val="auto"/>
        </w:rPr>
      </w:pPr>
    </w:p>
    <w:tbl>
      <w:tblPr>
        <w:tblLayout w:type="fixed"/>
        <w:tblInd w:w="13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jc w:val="right"/>
              <w:ind w:right="720"/>
              <w:spacing w:after="0"/>
              <w:rPr>
                <w:sz w:val="20"/>
                <w:szCs w:val="20"/>
                <w:color w:val="auto"/>
              </w:rPr>
            </w:pPr>
            <w:r>
              <w:rPr>
                <w:rFonts w:ascii="Arial" w:cs="Arial" w:eastAsia="Arial" w:hAnsi="Arial"/>
                <w:sz w:val="18"/>
                <w:szCs w:val="18"/>
                <w:b w:val="1"/>
                <w:bCs w:val="1"/>
                <w:color w:val="auto"/>
              </w:rPr>
              <w:t>Low</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800"/>
              <w:spacing w:after="0"/>
              <w:rPr>
                <w:sz w:val="20"/>
                <w:szCs w:val="20"/>
                <w:color w:val="auto"/>
              </w:rPr>
            </w:pPr>
            <w:r>
              <w:rPr>
                <w:rFonts w:ascii="Arial" w:cs="Arial" w:eastAsia="Arial" w:hAnsi="Arial"/>
                <w:sz w:val="18"/>
                <w:szCs w:val="18"/>
                <w:b w:val="1"/>
                <w:bCs w:val="1"/>
                <w:color w:val="auto"/>
              </w:rPr>
              <w:t>Mid</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High</w:t>
            </w:r>
          </w:p>
        </w:tc>
        <w:tc>
          <w:tcPr>
            <w:tcW w:w="6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51,028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54,628</w:t>
            </w:r>
          </w:p>
        </w:tc>
        <w:tc>
          <w:tcPr>
            <w:tcW w:w="220" w:type="dxa"/>
            <w:vAlign w:val="bottom"/>
          </w:tcPr>
          <w:p>
            <w:pPr>
              <w:spacing w:after="0"/>
              <w:rPr>
                <w:sz w:val="19"/>
                <w:szCs w:val="19"/>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58,328</w:t>
            </w:r>
          </w:p>
        </w:tc>
        <w:tc>
          <w:tcPr>
            <w:tcW w:w="60" w:type="dxa"/>
            <w:vAlign w:val="bottom"/>
          </w:tcPr>
          <w:p>
            <w:pPr>
              <w:spacing w:after="0"/>
              <w:rPr>
                <w:sz w:val="19"/>
                <w:szCs w:val="19"/>
                <w:color w:val="auto"/>
              </w:rPr>
            </w:pPr>
          </w:p>
        </w:tc>
      </w:tr>
      <w:tr>
        <w:trPr>
          <w:trHeight w:val="40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13,462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13,462</w:t>
            </w:r>
          </w:p>
        </w:tc>
        <w:tc>
          <w:tcPr>
            <w:tcW w:w="32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13,462</w:t>
            </w:r>
          </w:p>
        </w:tc>
      </w:tr>
      <w:tr>
        <w:trPr>
          <w:trHeight w:val="213"/>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1,295</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1,295</w:t>
            </w:r>
          </w:p>
        </w:tc>
      </w:tr>
      <w:tr>
        <w:trPr>
          <w:trHeight w:val="226"/>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17,793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19,193</w:t>
            </w: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20,493</w:t>
            </w:r>
          </w:p>
        </w:tc>
      </w:tr>
      <w:tr>
        <w:trPr>
          <w:trHeight w:val="221"/>
        </w:trPr>
        <w:tc>
          <w:tcPr>
            <w:tcW w:w="20" w:type="dxa"/>
            <w:vAlign w:val="bottom"/>
          </w:tcPr>
          <w:p>
            <w:pPr>
              <w:spacing w:after="0"/>
              <w:rPr>
                <w:sz w:val="19"/>
                <w:szCs w:val="19"/>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83,578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88,578</w:t>
            </w:r>
          </w:p>
        </w:tc>
        <w:tc>
          <w:tcPr>
            <w:tcW w:w="220" w:type="dxa"/>
            <w:vAlign w:val="bottom"/>
          </w:tcPr>
          <w:p>
            <w:pPr>
              <w:spacing w:after="0"/>
              <w:rPr>
                <w:sz w:val="19"/>
                <w:szCs w:val="19"/>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93,578</w:t>
            </w:r>
          </w:p>
        </w:tc>
        <w:tc>
          <w:tcPr>
            <w:tcW w:w="60" w:type="dxa"/>
            <w:vAlign w:val="bottom"/>
          </w:tcPr>
          <w:p>
            <w:pPr>
              <w:spacing w:after="0"/>
              <w:rPr>
                <w:sz w:val="19"/>
                <w:szCs w:val="19"/>
                <w:color w:val="auto"/>
              </w:rPr>
            </w:pPr>
          </w:p>
        </w:tc>
      </w:tr>
      <w:tr>
        <w:trPr>
          <w:trHeight w:val="41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11,422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11,422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11,422</w:t>
            </w:r>
          </w:p>
        </w:tc>
      </w:tr>
      <w:tr>
        <w:trPr>
          <w:trHeight w:val="208"/>
        </w:trPr>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105,000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6"/>
        </w:trPr>
        <w:tc>
          <w:tcPr>
            <w:tcW w:w="340" w:type="dxa"/>
            <w:vAlign w:val="bottom"/>
            <w:gridSpan w:val="2"/>
          </w:tcPr>
          <w:p>
            <w:pPr>
              <w:jc w:val="right"/>
              <w:ind w:right="168"/>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4"/>
                <w:szCs w:val="24"/>
                <w:color w:val="auto"/>
              </w:rPr>
            </w:pPr>
          </w:p>
        </w:tc>
        <w:tc>
          <w:tcPr>
            <w:tcW w:w="42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r>
      <w:tr>
        <w:trPr>
          <w:trHeight w:val="41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0.32</w:t>
            </w:r>
          </w:p>
        </w:tc>
        <w:tc>
          <w:tcPr>
            <w:tcW w:w="32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0.32</w:t>
            </w:r>
          </w:p>
        </w:tc>
      </w:tr>
      <w:tr>
        <w:trPr>
          <w:trHeight w:val="226"/>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(0.09)</w:t>
            </w:r>
          </w:p>
        </w:tc>
      </w:tr>
      <w:tr>
        <w:trPr>
          <w:trHeight w:val="208"/>
        </w:trPr>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-2738120</wp:posOffset>
            </wp:positionH>
            <wp:positionV relativeFrom="paragraph">
              <wp:posOffset>-2108835</wp:posOffset>
            </wp:positionV>
            <wp:extent cx="6769735" cy="135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69735" cy="135255"/>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-1837690</wp:posOffset>
            </wp:positionV>
            <wp:extent cx="6769735" cy="135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9735" cy="135255"/>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-1566545</wp:posOffset>
            </wp:positionV>
            <wp:extent cx="6769735" cy="144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69735" cy="144145"/>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-1287145</wp:posOffset>
            </wp:positionV>
            <wp:extent cx="6769735" cy="135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69735" cy="135255"/>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-1007745</wp:posOffset>
            </wp:positionV>
            <wp:extent cx="6769735" cy="161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69735" cy="16129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-711200</wp:posOffset>
            </wp:positionV>
            <wp:extent cx="6769735" cy="135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69735" cy="135255"/>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-440055</wp:posOffset>
            </wp:positionV>
            <wp:extent cx="6769735" cy="135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69735" cy="135255"/>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-160655</wp:posOffset>
            </wp:positionV>
            <wp:extent cx="6769735" cy="161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69735" cy="161290"/>
                    </a:xfrm>
                    <a:prstGeom prst="rect">
                      <a:avLst/>
                    </a:prstGeom>
                    <a:noFill/>
                  </pic:spPr>
                </pic:pic>
              </a:graphicData>
            </a:graphic>
          </wp:anchor>
        </w:drawing>
      </w:r>
    </w:p>
    <w:p>
      <w:pPr>
        <w:spacing w:after="0" w:line="17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ectPr>
          <w:pgSz w:w="11900" w:h="16838" w:orient="portrait"/>
          <w:cols w:equalWidth="0" w:num="2">
            <w:col w:w="3900" w:space="420"/>
            <w:col w:w="6320"/>
          </w:cols>
          <w:pgMar w:left="320" w:top="575" w:right="939" w:bottom="1440" w:gutter="0" w:footer="0" w:header="0"/>
        </w:sectPr>
      </w:pPr>
    </w:p>
    <w:bookmarkStart w:id="11" w:name="page12"/>
    <w:bookmarkEnd w:id="11"/>
    <w:p>
      <w:pPr>
        <w:ind w:left="920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4978400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436880</wp:posOffset>
            </wp:positionV>
            <wp:extent cx="7196455" cy="405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405003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05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196455" cy="40500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2021-03-11T07:23:05Z</dcterms:created>
  <dcterms:modified xsi:type="dcterms:W3CDTF">2021-03-11T07:23:05Z</dcterms:modified>
</cp:coreProperties>
</file>