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Sherbin Joshua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C/0 THE SHYFT GROUP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41280 BRIDGE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SHYFT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SHYF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Chief Administration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NOVI</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48375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12/18/2024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9,950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49,953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Shyft Group, Inc. to satisfy tax withholding obligations incident upon the vesting of previously granted restricted stock units ("RSUs"). These RSUs were otherwise scheduled to vest in March 2025, June 2025, and August 2025 but vesting was accelerated for the purpose of reducing or eliminating the excise tax under Section 280G and Section 4999 of the Internal Revenue Code of 1986 that would be imposed on amounts payable to the reporting person in connection with the consummation of the transactions contemplated by the Agreement and Plan of Merger, dated December 16, 2024, by and among The Shyft Group, Inc., Aebi Schmidt Holding AG ("Aebi Schmidt"), ASH US Group, LLC, a direct, wholly owned subsidiary of Aebi Schmidt, and Badger Merger Sub, Inc.</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Joshua A. Sherbin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12/20/2024</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9070" TargetMode="External"/><Relationship Id="rId14" Type="http://schemas.openxmlformats.org/officeDocument/2006/relationships/hyperlink" Target="http://www.sec.gov/cgi-bin/browse-edgar?action=getcompany&amp;CIK=00007432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2024-12-20T16:59:26Z</dcterms:created>
  <dcterms:modified xsi:type="dcterms:W3CDTF">2024-12-20T16:59:26Z</dcterms:modified>
</cp:coreProperties>
</file>