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July 1,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333-255240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333-273352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ind w:left="1420" w:right="1420"/>
        <w:spacing w:after="0" w:line="262" w:lineRule="auto"/>
        <w:rPr>
          <w:sz w:val="20"/>
          <w:szCs w:val="20"/>
          <w:color w:val="auto"/>
        </w:rPr>
      </w:pPr>
      <w:r>
        <w:rPr>
          <w:rFonts w:ascii="Times New Roman" w:cs="Times New Roman" w:eastAsia="Times New Roman" w:hAnsi="Times New Roman"/>
          <w:sz w:val="18"/>
          <w:szCs w:val="18"/>
          <w:b w:val="1"/>
          <w:bCs w:val="1"/>
          <w:color w:val="auto"/>
        </w:rPr>
        <w:t>POST-EFFECTIVE AMENDMENT NO.1 TO FORM S-8 REGISTRATION STATEMENT NO. 333-255240 POST-EFFECTIVE AMENDMENT NO. 1 TO FORM S-8 REGISTRATION STATEMENT NO. 333-273352 POST- EFFECTIVE AMENDMENT NO. 1 TO FORM S-8 REGISTRATION STATEMENT NO. 333-288032 UNDER THE SECURITIES ACT OF 1933</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Shyft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38-2078923</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22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41280 Bridge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Novi, Michigan 48375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of registrant’s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Shyft Group, Inc. Stock Incentive Plan of 2016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by the First Amendment to Stock Incentive Plan)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Shyft Group, Inc. Stock Incentive Plan of 2016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Effective May 17, 2023)</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Shyft Group, Inc. Stock Incentive Plan</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Jay Goldbaum</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Deputy General Counsel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Novi, MI 48375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(517) 543-6400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Shyft Group, Inc. (the “Registrant”) is filing post-effective amendments (“Post-Effective Amendments”) to the following registration statements on Form S-8 (collectively, the “Registration Statements”) to deregister any and all unsold securities as of the date hereof originally registered by the Registrant pursuant to its Registration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Registration Statement No. 333-255240, filed with the Securities and Exchange Commission (the “Commission”) on April 15, 2021, with respect to (i) 1,200,000 shares of common stock, no par value per share (“Common Stock”), of the Registrant under The Shyft Group, Inc. 2016 Stock Incentive Plan (the “2016 Plan”) and (ii) an indeterminable number of additional shares of Common Stock that may become issuance under the 2016 Plan as a result of outstanding awards under the 2016 Plan being redeemed by, surrendered to or otherwise reacquired by the Registrant or are cancelled or expire unexercised.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Registration Statement No. 333-273352, filed with the Commission on July 20, 2023, with respect to (i) 1,000,000 shares of Common Stock under The Shyft Group, Inc. Amended and Restated 2016 Stock Incentive Plan, as amended through May 17, 2023 (the “2023 Plan”) and (ii) an indeterminable number of additional shares of Common Stock that may become available for issuance under the Plan to prevent dilution resulting from stock splits, stock distributions or similar transactions or as a result of outstanding awards under the 2023 Plan being redeemed by, surrendered to or otherwise reacquired by the Registrant or are cancelled or expire unexercised.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Registration Statement No. 333-288032, filed with the Commission on June 13, 2025, with respect to (i) 800,000 shares of Common Stock under The Shyft Group, Inc. Stock Incentive Plan (the “2025 Plan”) and (ii) an indeterminable number of additional shares of Common Stock that may become available for issuance under the Plan to prevent dilution resulting from stock splits, stock distributions or similar transactions or as a result of outstanding awards under the 2025 Plan being redeemed by, surrendered to or otherwise reacquired by the Registrant or are cancelled or expire unexercised.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2025, pursuant to the terms of the Agreement and Plan of Merger (the “Merger Agreement”), dated as of December 16, 2024, by and among the Registrant, Aebi Schmidt Holding AG, a Switzerland Aktiengesellschaft (“Aebi Schmidt”), ASH US Group, LLC, a Delaware limited liability company and direct, wholly owned subsidiary of Aebi Schmidt (“Holdco”), and Badger Merger Sub, Inc., a Michigan corporation and direct, wholly owned subsidiary of Holdco (“Merger Sub”), Merger Sub merged with and into the Registrant (the “Merger”), with Registrant continuing as a direct, wholly-owned subsidiary of Holdco and as an indirect, wholly-owned subsidiary of Aebi Schmidt.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offerings of its securities pursuant to the Registration Statements. The Registrant hereby terminates the effectiveness of the Registration Statements and removes from registration, by means of this Post-Effective Amendments, any and all of the securities registered under the Registration Statements that remained unsold as of the date hereof. The Registration Statement is hereby amended, as appropriate, to reflect the registration of such securities, and the Registrant hereby terminates the effectiveness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 Post-Effective Amendments to the Registration Statements to be signed on its behalf by the undersigned, thereunto duly authorized, in the city of Novi, State of Michigan on July 1, 2025.</w:t>
      </w:r>
    </w:p>
    <w:p>
      <w:pPr>
        <w:spacing w:after="0" w:line="17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2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  /s/ Jay Goldbaum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6085" cy="1714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Jay Goldbaum</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 Deputy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2025-07-01T07:21:56Z</dcterms:created>
  <dcterms:modified xsi:type="dcterms:W3CDTF">2025-07-01T07:21:56Z</dcterms:modified>
</cp:coreProperties>
</file>