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65" w:lineRule="exact"/>
        <w:rPr>
          <w:sz w:val="24"/>
          <w:szCs w:val="24"/>
          <w:color w:val="auto"/>
        </w:rPr>
      </w:pPr>
    </w:p>
    <w:p>
      <w:pPr>
        <w:ind w:left="240" w:right="4460" w:hanging="235"/>
        <w:spacing w:after="0" w:line="263" w:lineRule="auto"/>
        <w:tabs>
          <w:tab w:leader="none" w:pos="2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OR</w:t>
      </w:r>
    </w:p>
    <w:p>
      <w:pPr>
        <w:spacing w:after="0" w:line="5" w:lineRule="exact"/>
        <w:rPr>
          <w:sz w:val="24"/>
          <w:szCs w:val="24"/>
          <w:color w:val="auto"/>
        </w:rPr>
      </w:pPr>
    </w:p>
    <w:p>
      <w:pPr>
        <w:ind w:left="240" w:right="4200" w:hanging="235"/>
        <w:spacing w:after="0" w:line="271" w:lineRule="auto"/>
        <w:tabs>
          <w:tab w:leader="none" w:pos="2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 For the transition period from ___________________ to ___________________</w:t>
      </w:r>
    </w:p>
    <w:p>
      <w:pPr>
        <w:spacing w:after="0" w:line="135" w:lineRule="exact"/>
        <w:rPr>
          <w:sz w:val="24"/>
          <w:szCs w:val="24"/>
          <w:color w:val="auto"/>
        </w:rPr>
      </w:pPr>
    </w:p>
    <w:tbl>
      <w:tblPr>
        <w:tblLayout w:type="fixed"/>
        <w:tblInd w:w="156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5620" w:type="dxa"/>
            <w:vAlign w:val="bottom"/>
          </w:tcPr>
          <w:p>
            <w:pPr>
              <w:jc w:val="center"/>
              <w:ind w:right="2229"/>
              <w:spacing w:after="0"/>
              <w:rPr>
                <w:sz w:val="20"/>
                <w:szCs w:val="20"/>
                <w:color w:val="auto"/>
              </w:rPr>
            </w:pPr>
            <w:r>
              <w:rPr>
                <w:rFonts w:ascii="Times New Roman" w:cs="Times New Roman" w:eastAsia="Times New Roman" w:hAnsi="Times New Roman"/>
                <w:sz w:val="14"/>
                <w:szCs w:val="14"/>
                <w:color w:val="auto"/>
              </w:rPr>
              <w:t>Commission File Number 001-33582</w:t>
            </w:r>
          </w:p>
        </w:tc>
      </w:tr>
      <w:tr>
        <w:trPr>
          <w:trHeight w:val="326"/>
        </w:trPr>
        <w:tc>
          <w:tcPr>
            <w:tcW w:w="2420" w:type="dxa"/>
            <w:vAlign w:val="bottom"/>
          </w:tcPr>
          <w:p>
            <w:pPr>
              <w:spacing w:after="0"/>
              <w:rPr>
                <w:sz w:val="24"/>
                <w:szCs w:val="24"/>
                <w:color w:val="auto"/>
              </w:rPr>
            </w:pPr>
          </w:p>
        </w:tc>
        <w:tc>
          <w:tcPr>
            <w:tcW w:w="5620" w:type="dxa"/>
            <w:vAlign w:val="bottom"/>
          </w:tcPr>
          <w:p>
            <w:pPr>
              <w:jc w:val="center"/>
              <w:ind w:right="2209"/>
              <w:spacing w:after="0"/>
              <w:rPr>
                <w:sz w:val="20"/>
                <w:szCs w:val="20"/>
                <w:color w:val="auto"/>
              </w:rPr>
            </w:pPr>
            <w:r>
              <w:rPr>
                <w:rFonts w:ascii="Times New Roman" w:cs="Times New Roman" w:eastAsia="Times New Roman" w:hAnsi="Times New Roman"/>
                <w:sz w:val="14"/>
                <w:szCs w:val="14"/>
                <w:b w:val="1"/>
                <w:bCs w:val="1"/>
                <w:color w:val="auto"/>
                <w:w w:val="99"/>
              </w:rPr>
              <w:t>THE SHYFT GROUP, INC.</w:t>
            </w:r>
          </w:p>
        </w:tc>
      </w:tr>
      <w:tr>
        <w:trPr>
          <w:trHeight w:val="168"/>
        </w:trPr>
        <w:tc>
          <w:tcPr>
            <w:tcW w:w="2420" w:type="dxa"/>
            <w:vAlign w:val="bottom"/>
          </w:tcPr>
          <w:p>
            <w:pPr>
              <w:spacing w:after="0"/>
              <w:rPr>
                <w:sz w:val="14"/>
                <w:szCs w:val="14"/>
                <w:color w:val="auto"/>
              </w:rPr>
            </w:pPr>
          </w:p>
        </w:tc>
        <w:tc>
          <w:tcPr>
            <w:tcW w:w="5620" w:type="dxa"/>
            <w:vAlign w:val="bottom"/>
          </w:tcPr>
          <w:p>
            <w:pPr>
              <w:jc w:val="center"/>
              <w:ind w:right="220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172"/>
        </w:trPr>
        <w:tc>
          <w:tcPr>
            <w:tcW w:w="24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Michigan</w:t>
            </w:r>
          </w:p>
        </w:tc>
        <w:tc>
          <w:tcPr>
            <w:tcW w:w="56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38-2078923</w:t>
            </w:r>
          </w:p>
        </w:tc>
      </w:tr>
      <w:tr>
        <w:trPr>
          <w:trHeight w:val="170"/>
        </w:trPr>
        <w:tc>
          <w:tcPr>
            <w:tcW w:w="24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620" w:type="dxa"/>
            <w:vAlign w:val="bottom"/>
          </w:tcPr>
          <w:p>
            <w:pPr>
              <w:jc w:val="center"/>
              <w:ind w:left="350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4"/>
        </w:trPr>
        <w:tc>
          <w:tcPr>
            <w:tcW w:w="24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620" w:type="dxa"/>
            <w:vAlign w:val="bottom"/>
          </w:tcPr>
          <w:p>
            <w:pPr>
              <w:spacing w:after="0"/>
              <w:rPr>
                <w:sz w:val="16"/>
                <w:szCs w:val="16"/>
                <w:color w:val="auto"/>
              </w:rPr>
            </w:pPr>
          </w:p>
        </w:tc>
      </w:tr>
      <w:tr>
        <w:trPr>
          <w:trHeight w:val="324"/>
        </w:trPr>
        <w:tc>
          <w:tcPr>
            <w:tcW w:w="24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41280 Bridge Street</w:t>
            </w:r>
          </w:p>
        </w:tc>
        <w:tc>
          <w:tcPr>
            <w:tcW w:w="5620" w:type="dxa"/>
            <w:vAlign w:val="bottom"/>
          </w:tcPr>
          <w:p>
            <w:pPr>
              <w:spacing w:after="0"/>
              <w:rPr>
                <w:sz w:val="24"/>
                <w:szCs w:val="24"/>
                <w:color w:val="auto"/>
              </w:rPr>
            </w:pPr>
          </w:p>
        </w:tc>
      </w:tr>
      <w:tr>
        <w:trPr>
          <w:trHeight w:val="172"/>
        </w:trPr>
        <w:tc>
          <w:tcPr>
            <w:tcW w:w="24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Novi, Michigan</w:t>
            </w:r>
          </w:p>
        </w:tc>
        <w:tc>
          <w:tcPr>
            <w:tcW w:w="562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48375</w:t>
            </w:r>
          </w:p>
        </w:tc>
      </w:tr>
      <w:tr>
        <w:trPr>
          <w:trHeight w:val="184"/>
        </w:trPr>
        <w:tc>
          <w:tcPr>
            <w:tcW w:w="24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620" w:type="dxa"/>
            <w:vAlign w:val="bottom"/>
          </w:tcPr>
          <w:p>
            <w:pPr>
              <w:jc w:val="center"/>
              <w:ind w:left="350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(517) 543-6400</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1"/>
        </w:trPr>
        <w:tc>
          <w:tcPr>
            <w:tcW w:w="178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SHYF</w:t>
            </w:r>
          </w:p>
        </w:tc>
        <w:tc>
          <w:tcPr>
            <w:tcW w:w="1500" w:type="dxa"/>
            <w:vAlign w:val="bottom"/>
          </w:tcPr>
          <w:p>
            <w:pPr>
              <w:spacing w:after="0"/>
              <w:rPr>
                <w:sz w:val="15"/>
                <w:szCs w:val="15"/>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340"/>
        </w:trPr>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20" w:type="dxa"/>
            <w:vAlign w:val="bottom"/>
            <w:gridSpan w:val="7"/>
          </w:tcPr>
          <w:p>
            <w:pPr>
              <w:jc w:val="center"/>
              <w:ind w:right="1789"/>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Securities Exchange Act: </w:t>
            </w:r>
            <w:r>
              <w:rPr>
                <w:rFonts w:ascii="Times New Roman" w:cs="Times New Roman" w:eastAsia="Times New Roman" w:hAnsi="Times New Roman"/>
                <w:sz w:val="14"/>
                <w:szCs w:val="14"/>
                <w:b w:val="1"/>
                <w:bCs w:val="1"/>
                <w:color w:val="auto"/>
              </w:rPr>
              <w:t>None</w:t>
            </w:r>
          </w:p>
        </w:tc>
      </w:tr>
      <w:tr>
        <w:trPr>
          <w:trHeight w:val="298"/>
        </w:trPr>
        <w:tc>
          <w:tcPr>
            <w:tcW w:w="76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2600" w:type="dxa"/>
            <w:vAlign w:val="bottom"/>
          </w:tcPr>
          <w:p>
            <w:pPr>
              <w:spacing w:after="0"/>
              <w:rPr>
                <w:sz w:val="24"/>
                <w:szCs w:val="24"/>
                <w:color w:val="auto"/>
              </w:rPr>
            </w:pPr>
          </w:p>
        </w:tc>
      </w:tr>
      <w:tr>
        <w:trPr>
          <w:trHeight w:val="237"/>
        </w:trPr>
        <w:tc>
          <w:tcPr>
            <w:tcW w:w="1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Yes</w:t>
            </w:r>
          </w:p>
        </w:tc>
        <w:tc>
          <w:tcPr>
            <w:tcW w:w="3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w:t>
            </w:r>
          </w:p>
        </w:tc>
        <w:tc>
          <w:tcPr>
            <w:tcW w:w="2440" w:type="dxa"/>
            <w:vAlign w:val="bottom"/>
            <w:gridSpan w:val="2"/>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600" w:type="dxa"/>
            <w:vAlign w:val="bottom"/>
          </w:tcPr>
          <w:p>
            <w:pPr>
              <w:spacing w:after="0"/>
              <w:rPr>
                <w:sz w:val="20"/>
                <w:szCs w:val="20"/>
                <w:color w:val="auto"/>
              </w:rPr>
            </w:pPr>
          </w:p>
        </w:tc>
      </w:tr>
      <w:tr>
        <w:trPr>
          <w:trHeight w:val="272"/>
        </w:trPr>
        <w:tc>
          <w:tcPr>
            <w:tcW w:w="76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2600" w:type="dxa"/>
            <w:vAlign w:val="bottom"/>
          </w:tcPr>
          <w:p>
            <w:pPr>
              <w:spacing w:after="0"/>
              <w:rPr>
                <w:sz w:val="23"/>
                <w:szCs w:val="23"/>
                <w:color w:val="auto"/>
              </w:rPr>
            </w:pPr>
          </w:p>
        </w:tc>
      </w:tr>
      <w:tr>
        <w:trPr>
          <w:trHeight w:val="237"/>
        </w:trPr>
        <w:tc>
          <w:tcPr>
            <w:tcW w:w="1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Yes</w:t>
            </w:r>
          </w:p>
        </w:tc>
        <w:tc>
          <w:tcPr>
            <w:tcW w:w="3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w:t>
            </w:r>
          </w:p>
        </w:tc>
        <w:tc>
          <w:tcPr>
            <w:tcW w:w="2440" w:type="dxa"/>
            <w:vAlign w:val="bottom"/>
            <w:gridSpan w:val="2"/>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600" w:type="dxa"/>
            <w:vAlign w:val="bottom"/>
          </w:tcPr>
          <w:p>
            <w:pPr>
              <w:spacing w:after="0"/>
              <w:rPr>
                <w:sz w:val="20"/>
                <w:szCs w:val="20"/>
                <w:color w:val="auto"/>
              </w:rPr>
            </w:pPr>
          </w:p>
        </w:tc>
      </w:tr>
    </w:tbl>
    <w:p>
      <w:pPr>
        <w:spacing w:after="0" w:line="130"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180"/>
        <w:spacing w:after="0" w:line="161" w:lineRule="exact"/>
        <w:tabs>
          <w:tab w:leader="none" w:pos="4500" w:val="left"/>
          <w:tab w:leader="none" w:pos="4960" w:val="left"/>
          <w:tab w:leader="none" w:pos="53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68"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4180"/>
        <w:spacing w:after="0" w:line="161" w:lineRule="exact"/>
        <w:tabs>
          <w:tab w:leader="none" w:pos="4500" w:val="left"/>
          <w:tab w:leader="none" w:pos="4960" w:val="left"/>
          <w:tab w:leader="none" w:pos="53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68"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p>
      <w:pPr>
        <w:ind w:left="140"/>
        <w:spacing w:after="0" w:line="161" w:lineRule="exact"/>
        <w:tabs>
          <w:tab w:leader="none" w:pos="1840" w:val="left"/>
          <w:tab w:leader="none" w:pos="2280" w:val="left"/>
          <w:tab w:leader="none" w:pos="3780" w:val="left"/>
          <w:tab w:leader="none" w:pos="4200" w:val="left"/>
          <w:tab w:leader="none" w:pos="5920" w:val="left"/>
          <w:tab w:leader="none" w:pos="6340" w:val="left"/>
          <w:tab w:leader="none" w:pos="8260" w:val="left"/>
          <w:tab w:leader="none" w:pos="8680" w:val="left"/>
          <w:tab w:leader="none" w:pos="106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10"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99" w:right="319" w:bottom="1440" w:gutter="0" w:footer="0" w:header="0"/>
        </w:sectPr>
      </w:pPr>
    </w:p>
    <w:bookmarkStart w:id="1" w:name="page2"/>
    <w:bookmarkEnd w:id="1"/>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0"/>
          <w:szCs w:val="20"/>
          <w:color w:val="auto"/>
        </w:rPr>
      </w:pPr>
    </w:p>
    <w:p>
      <w:pPr>
        <w:ind w:left="4180"/>
        <w:spacing w:after="0" w:line="161" w:lineRule="exact"/>
        <w:tabs>
          <w:tab w:leader="none" w:pos="4500" w:val="left"/>
          <w:tab w:leader="none" w:pos="4960" w:val="left"/>
          <w:tab w:leader="none" w:pos="53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6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based on the last sales price of such stock on NASDAQ Global Select Market on June 28, 2024, the last business day of the registrant’s most recently completed second fiscal quarter: $404,697,831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as of February 14, 2025: 34,932,272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Portions of the definitive proxy statement for the registrant’s May 14, 2025 annual meeting of shareholders, to be filed with the Securities and Exchange Commission no later than 120 days after December 31, 2024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This Form 10-K contains some statements that are not historical facts. These statements are called “forward-looking statements” within the meaning of Section 27A of the Securities Act of 1933, as amended, and Section 21E of the Securities Exchange Act of 1934, as amended. These statements involve important known and unknown risks, uncertainties and other factors and generally can be identified by phrases using “estimate,” “anticipate,” “believe,” “project,” “expect,” “intend,” “predict,” “potential,” “future,” “may,” “will,” “should” or similar expressions or words. The Shyft Group, Inc.'s (the “Company,” “we,” “us” or “our”) future results, performance or achievements may differ materially from the results, performance or achievements discussed in the forward-looking statements. These statements are not guarantees of future performance and involve certain risks, uncertainties and assumptions (“Risk Factors”) that are difficult to predict with regard to timing, extent, likelihood and degree of occurrence. Therefore, actual results and outcomes may materially differ from what may be expressed or forecasted in such forward-looking statements.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Risk Factors include the risk factors listed and more fully described in Item 1A below, “Risk Factors,” as well as risk factors that we have discussed in previous public reports and other documents filed with the Securities and Exchange Commission. The list in Item 1A below includes the primary risks our management believes could materially affect the potential results described by forward-looking statements contained in this Form 10-K. However, these risks may not be the only risks we face. Our business, operations and financial performance could also be affected by additional factors that are not presently known to us or that we currently consider to be immaterial to our operations. In addition, new Risk Factors may emerge from time to time that may cause actual results to differ materially from those contained in any forward-looking statements. Given these risks and uncertainties, although we believe that the forward-looking statements contained in this Form 10-K are reasonable, we cannot provide you with any guarantee that the results described in those forward-looking statements will be achieved. All forward-looking statements in this Form 10-K are expressly qualified in their entirety by the cautionary statements contained in this section, and investors should not place undue reliance on forward-looking statements as a prediction of actual results. The Company undertakes no obligation to update or revise any forward-looking statements to reflect developments or information obtained after the date this Form 10-K is filed with the Securities and Exchange Commission.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Trademarks and Service Marks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 ® and ™ symbols, but we will assert, to the fullest extent under applicable law, our rights to our copyrights, trademarks, service marks, trade names and domain names. The trademarks, service marks and trade names of other companies appearing in this Form 10-K are, to our knowledge, the property of their respective owners.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u w:val="single" w:color="auto"/>
          <w:color w:val="auto"/>
        </w:rPr>
        <w:t>Business</w:t>
      </w:r>
      <w:r>
        <w:rPr>
          <w:rFonts w:ascii="Times New Roman" w:cs="Times New Roman" w:eastAsia="Times New Roman" w:hAnsi="Times New Roman"/>
          <w:sz w:val="13"/>
          <w:szCs w:val="13"/>
          <w:b w:val="1"/>
          <w:b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General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herein, the term “Company”, “we”, “us” or “our” refers to The Shyft Group, Inc. and its subsidiaries unless designated or identified otherwise.</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 niche market leader in specialty vehicle manufacturing and assembly, catering to the commercial vehicle and recreational vehicle industries. Within the commercial segment, we focus on last-mile delivery, specialty service, and vocation-specific upfit solutions. Our product offerings include walk-in vans, truck bodies, and cargo van and pick-up truck upfits designed for e-commerce and parcel delivery, as well as upfit equipment tailored for the mobile retail and utility trades. In the recreational vehicle industry, we produce luxury Class A diesel motorhome custom chassis and provide contract manufacturing and assembly services.</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 our consultative sales methodology, known as Work-Driven Design, we provide valuable customer insights to identify and match the ideal fleet vehicle solutions to meet each customer’s unique needs. In addition to manufacturing, we supply replacement parts and offer repair, maintenance, field service, and refurbishment services for the vehicles we produce.</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operating activities are conducted through our wholly-owned subsidiary, The Shyft Group USA, Inc., with facilities strategically located across North America. These include locations in Novi, Charlotte, Plymouth and Roseville, Michigan; Bristol, Indiana; Waterville, Maine; Landisville, Pennsylvania; Pompano Beach, West Palm Beach and Miami, Florida; Kansas City, Missouri; Carson and McClellan Park, California; Mesa, Arizona; Dallas and Weatherford, Texas; Lebanon, Tennessee; Oakland, Iowa; and Saltillo, Mexico.</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vehicles, parts and services are sold to commercial users, original equipment manufacturers (OEMs), dealers, individual end users, and municipalities and other governmental entities.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provides agility to quickly respond to market needs, take advantage of strategic opportunities when they arise and correctly size and scale operations to ensure stability and growth.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The Aebi Schmidt Transaction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16, 2024, we entered into that certain Agreement and Plan of Merger, dated as of December 16, 2024 (the “Merger Agreement”), by and among the Company, Aebi Schmidt Holding AG, a Switzerland Aktiengesellschaft (“Aebi Schmidt”), ASH US Group, LLC, a Delaware limited liability company and direct, wholly owned subsidiary of Aebi Schmidt (“Holdco”), and Badger Merger Sub, Inc., a Michigan corporation and direct, wholly owned subsidiary of Holdco (“Merger Sub”), pursuant to which, on the terms and subject to the conditions set forth in the Merger Agreement, Merger Sub will merge with and into the Company (the “Merger”, and the time at which the Merger is effective, the “Effective Time”), with the Company surviving the Merger as a direct, wholly owned subsidiary of Holdco and as an indirect, wholly owned subsidiary of Aebi Schmidt (the transactions contemplated by the Merger Agreement, the “Transactions”).</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At the Effective Time, each share of our common stock issued and outstanding as of immediately prior to the Effective Time (other than any shares of our common stock that are held as of immediately prior to the Effective Time by Holdco, Aebi Schmidt, Merger Sub or any of their respective subsidiaries) will automatically be converted into the right to receive 1.040166432 fully paid and nonassessable shares of common stock, par value $1.00 per share, of Aebi Schmidt (“Aebi Schmidt Common Stock”), on the terms and subject to the conditions set forth in the Merger Agreement.</w:t>
      </w:r>
    </w:p>
    <w:p>
      <w:pPr>
        <w:spacing w:after="0" w:line="3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Following the closing of the Transactions (the “Closing”), the holders of shares of our common stock as of immediately prior to the Effective Time will own approximately 48% of the issued and outstanding shares of Aebi Schmidt Common Stock and the holders of shares of Aebi Schmidt Common Stock as of immediately prior to the Effective Time will own approximately 52% of the issued and outstanding shares of Aebi Schmidt Common Stock.</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4" w:name="page5"/>
    <w:bookmarkEnd w:id="4"/>
    <w:p>
      <w:pPr>
        <w:jc w:val="both"/>
        <w:spacing w:after="0" w:line="264" w:lineRule="auto"/>
        <w:rPr>
          <w:sz w:val="20"/>
          <w:szCs w:val="20"/>
          <w:color w:val="auto"/>
        </w:rPr>
      </w:pPr>
      <w:r>
        <w:rPr>
          <w:rFonts w:ascii="Times New Roman" w:cs="Times New Roman" w:eastAsia="Times New Roman" w:hAnsi="Times New Roman"/>
          <w:sz w:val="14"/>
          <w:szCs w:val="14"/>
          <w:color w:val="auto"/>
        </w:rPr>
        <w:t>As of immediately following the Effective Time, the board of directors of Aebi Schmidt (the “Aebi Schmidt Board”) will be composed of eleven members, six of whom will be designated by Aebi Schmidt and five of whom will be designated by the Company. James A. Sharman, the Chairman of our Board of Directors as of immediately prior to the Effective Time, will serve as the Chairman of the Aebi Schmidt Board following the Effective Time. The Merger Agreement includes a covenant requiring the Company and Aebi Schmidt to cooperate in good faith until the Closing to agree on a new name and ticker symbol for Aebi Schmidt.</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Closing is expected to occur in mid-2025, subject to certain closing conditions, including, among others, (a) the affirmative vote of the holders of a majority of the outstanding shares of our common stock, (b) the approval by a two-thirds majority of the shares of Aebi Schmidt Common Stock represented at an extraordinary meeting of the shareholders of Aebi Schmidt of the Transactions and debt financing, (c) the expiration or termination of any waiting periods (or any extension thereof) applicable to the consummation of the Merger under the Hart-Scott-Rodino Antitrust Improvements Act of 1976, as amended (the “HSR Act”), and (d) the receipt of certain required regulatory consents, approvals, non-disapprovals and other authorizations under certain applicable antitrust and foreign direct investment laws and regulations specified in the Merger Agreement. The obligation of the Company to consummate the Closing is further conditioned on Aebi Schmidt obtaining debt financing substantially concurrently with the Closing.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Performance Overview</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Unless noted otherwise, the data in this Form 10-K reflects our continuing operations and, therefore, excludes the performance of our previously divested Emergency Response Vehicles (“ERV”) business. Over the past five years our sales have increased by $110.2 million, a compound annual growth rate ("CAGR") of 3.8%, while income from continuing operations has declined by $41.1 million and Adjusted EBITDA has declined by $27.5 million, a CAGR of (10.6%). Please see the reconciliation of income from continuing operations to Adjusted EBITDA near the end of Item 1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10425" cy="1658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0425" cy="165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Our Segments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identify our reportable segments based on our management structure and the financial data utilized by our chief operating decision maker to assess segment performance and allocate resources among our operating units. We have two reportable segments: Fleet Vehicles and Services (“FVS”) and Specialty Vehicles (“SV”). Sales by segment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88265</wp:posOffset>
            </wp:positionV>
            <wp:extent cx="6372860" cy="1989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286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Fleet Vehicles and Services Segment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manufacture commercial vehicles used in the e-commerce/last mile/parcel delivery, beverage and grocery delivery, laundry and linen, mobile retail, and trades and construction industries. Our commercial vehicles are marketed under the Utilimaster brand name, which serves a diverse customer base and sells aftermarket parts and accessories for walk-in vans and other delivery vehicles. We also provide vocation-specific equipment upfit services, through our manufacturing operations. Our Fleet Vehicles and Services segment employed approximately 1,300 employees and 300 contractors as of December 31,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offer fleet vehicles in Gross Vehicle Weight Rating (“GVWR”) Class 1 through Class 7, the largest range of product offerings amongst our competitors.</w:t>
      </w:r>
    </w:p>
    <w:p>
      <w:pPr>
        <w:spacing w:after="0" w:line="177" w:lineRule="exact"/>
        <w:rPr>
          <w:sz w:val="20"/>
          <w:szCs w:val="20"/>
          <w:color w:val="auto"/>
        </w:rPr>
      </w:pPr>
    </w:p>
    <w:p>
      <w:pPr>
        <w:ind w:left="920"/>
        <w:spacing w:after="0"/>
        <w:tabs>
          <w:tab w:leader="none" w:pos="3920" w:val="left"/>
          <w:tab w:leader="none" w:pos="6300" w:val="left"/>
          <w:tab w:leader="none" w:pos="9500" w:val="left"/>
        </w:tabs>
        <w:rPr>
          <w:sz w:val="20"/>
          <w:szCs w:val="20"/>
          <w:color w:val="auto"/>
        </w:rPr>
      </w:pPr>
      <w:r>
        <w:rPr>
          <w:rFonts w:ascii="Times New Roman" w:cs="Times New Roman" w:eastAsia="Times New Roman" w:hAnsi="Times New Roman"/>
          <w:sz w:val="14"/>
          <w:szCs w:val="14"/>
          <w:b w:val="1"/>
          <w:bCs w:val="1"/>
          <w:color w:val="auto"/>
        </w:rPr>
        <w:t>Cargo Van Upfit</w:t>
      </w:r>
      <w:r>
        <w:rPr>
          <w:sz w:val="20"/>
          <w:szCs w:val="20"/>
          <w:color w:val="auto"/>
        </w:rPr>
        <w:tab/>
      </w:r>
      <w:r>
        <w:rPr>
          <w:rFonts w:ascii="Times New Roman" w:cs="Times New Roman" w:eastAsia="Times New Roman" w:hAnsi="Times New Roman"/>
          <w:sz w:val="14"/>
          <w:szCs w:val="14"/>
          <w:b w:val="1"/>
          <w:bCs w:val="1"/>
          <w:color w:val="auto"/>
        </w:rPr>
        <w:t>“Velocity”</w:t>
      </w:r>
      <w:r>
        <w:rPr>
          <w:sz w:val="20"/>
          <w:szCs w:val="20"/>
          <w:color w:val="auto"/>
        </w:rPr>
        <w:tab/>
      </w:r>
      <w:r>
        <w:rPr>
          <w:rFonts w:ascii="Times New Roman" w:cs="Times New Roman" w:eastAsia="Times New Roman" w:hAnsi="Times New Roman"/>
          <w:sz w:val="14"/>
          <w:szCs w:val="14"/>
          <w:b w:val="1"/>
          <w:bCs w:val="1"/>
          <w:color w:val="auto"/>
        </w:rPr>
        <w:t>Traditional Walk-in-Van</w:t>
      </w:r>
      <w:r>
        <w:rPr>
          <w:sz w:val="20"/>
          <w:szCs w:val="20"/>
          <w:color w:val="auto"/>
        </w:rPr>
        <w:tab/>
      </w:r>
      <w:r>
        <w:rPr>
          <w:rFonts w:ascii="Times New Roman" w:cs="Times New Roman" w:eastAsia="Times New Roman" w:hAnsi="Times New Roman"/>
          <w:sz w:val="13"/>
          <w:szCs w:val="13"/>
          <w:b w:val="1"/>
          <w:bCs w:val="1"/>
          <w:color w:val="auto"/>
        </w:rPr>
        <w:t>Truck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130810</wp:posOffset>
            </wp:positionV>
            <wp:extent cx="822960" cy="499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2960" cy="49911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16510</wp:posOffset>
            </wp:positionV>
            <wp:extent cx="4828540" cy="735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28540"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80"/>
        <w:spacing w:after="0"/>
        <w:tabs>
          <w:tab w:leader="none" w:pos="3900" w:val="left"/>
          <w:tab w:leader="none" w:pos="6700" w:val="left"/>
          <w:tab w:leader="none" w:pos="9520" w:val="left"/>
        </w:tabs>
        <w:rPr>
          <w:sz w:val="20"/>
          <w:szCs w:val="20"/>
          <w:color w:val="auto"/>
        </w:rPr>
      </w:pPr>
      <w:r>
        <w:rPr>
          <w:rFonts w:ascii="Times New Roman" w:cs="Times New Roman" w:eastAsia="Times New Roman" w:hAnsi="Times New Roman"/>
          <w:sz w:val="14"/>
          <w:szCs w:val="14"/>
          <w:color w:val="auto"/>
        </w:rPr>
        <w:t>Class 1 &amp; 2</w:t>
      </w:r>
      <w:r>
        <w:rPr>
          <w:sz w:val="20"/>
          <w:szCs w:val="20"/>
          <w:color w:val="auto"/>
        </w:rPr>
        <w:tab/>
      </w:r>
      <w:r>
        <w:rPr>
          <w:rFonts w:ascii="Times New Roman" w:cs="Times New Roman" w:eastAsia="Times New Roman" w:hAnsi="Times New Roman"/>
          <w:sz w:val="14"/>
          <w:szCs w:val="14"/>
          <w:color w:val="auto"/>
        </w:rPr>
        <w:t>Class 2 &amp; 3</w:t>
      </w:r>
      <w:r>
        <w:rPr>
          <w:sz w:val="20"/>
          <w:szCs w:val="20"/>
          <w:color w:val="auto"/>
        </w:rPr>
        <w:tab/>
      </w:r>
      <w:r>
        <w:rPr>
          <w:rFonts w:ascii="Times New Roman" w:cs="Times New Roman" w:eastAsia="Times New Roman" w:hAnsi="Times New Roman"/>
          <w:sz w:val="14"/>
          <w:szCs w:val="14"/>
          <w:color w:val="auto"/>
        </w:rPr>
        <w:t>Class 4 &amp; 5</w:t>
      </w:r>
      <w:r>
        <w:rPr>
          <w:sz w:val="20"/>
          <w:szCs w:val="20"/>
          <w:color w:val="auto"/>
        </w:rPr>
        <w:tab/>
      </w:r>
      <w:r>
        <w:rPr>
          <w:rFonts w:ascii="Times New Roman" w:cs="Times New Roman" w:eastAsia="Times New Roman" w:hAnsi="Times New Roman"/>
          <w:sz w:val="14"/>
          <w:szCs w:val="14"/>
          <w:color w:val="auto"/>
        </w:rPr>
        <w:t>Class 6 &amp; 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Innovation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Solution Experts employ a customer-centric approach by working with customers through a process of listening and learning, needs assessment, and design innovation through building and implementing solutions designed with our customers and their end customers in mind. Innovations implemented by our Solution Experts include efficiency improvements and cost saving solutions for the service segment, utility industry, food and beverage delivery, and mobile retail industry, such as safe loading equipment, keyless entry and cargo access systems, backup camera systems, and refrigeration solutions. Our teams can deliver product customization ranging from out-of-the-box to 100% custom solutions, based on customer needs and business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Products</w:t>
      </w:r>
    </w:p>
    <w:p>
      <w:pPr>
        <w:spacing w:after="0" w:line="17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i w:val="1"/>
          <w:iCs w:val="1"/>
          <w:color w:val="auto"/>
        </w:rPr>
        <w:t>Walk-in 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1160145" cy="735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0145" cy="735330"/>
                    </a:xfrm>
                    <a:prstGeom prst="rect">
                      <a:avLst/>
                    </a:prstGeom>
                    <a:noFill/>
                  </pic:spPr>
                </pic:pic>
              </a:graphicData>
            </a:graphic>
          </wp:anchor>
        </w:drawing>
      </w:r>
    </w:p>
    <w:p>
      <w:pPr>
        <w:spacing w:after="0" w:line="5" w:lineRule="exact"/>
        <w:rPr>
          <w:sz w:val="20"/>
          <w:szCs w:val="20"/>
          <w:color w:val="auto"/>
        </w:rPr>
      </w:pPr>
    </w:p>
    <w:p>
      <w:pPr>
        <w:jc w:val="both"/>
        <w:ind w:left="2360"/>
        <w:spacing w:after="0" w:line="259" w:lineRule="auto"/>
        <w:rPr>
          <w:sz w:val="20"/>
          <w:szCs w:val="20"/>
          <w:color w:val="auto"/>
        </w:rPr>
      </w:pPr>
      <w:r>
        <w:rPr>
          <w:rFonts w:ascii="Times New Roman" w:cs="Times New Roman" w:eastAsia="Times New Roman" w:hAnsi="Times New Roman"/>
          <w:sz w:val="14"/>
          <w:szCs w:val="14"/>
          <w:color w:val="auto"/>
        </w:rPr>
        <w:t>Assembled on a de-contented or “stripped” truck chassis supplied with engine and drive train components, our walk-in vans are used across a variety of vocations for multiple delivery and mobile service options. The vehicles feature a durable and lightweight aluminum body with a highly modularized cargo area, featuring extensive driver ergonomics options and a low step-in height for easy entry and egress.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i w:val="1"/>
          <w:iCs w:val="1"/>
          <w:color w:val="auto"/>
        </w:rPr>
        <w:t>Truck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1409700" cy="681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9700" cy="681355"/>
                    </a:xfrm>
                    <a:prstGeom prst="rect">
                      <a:avLst/>
                    </a:prstGeom>
                    <a:noFill/>
                  </pic:spPr>
                </pic:pic>
              </a:graphicData>
            </a:graphic>
          </wp:anchor>
        </w:drawing>
      </w:r>
    </w:p>
    <w:p>
      <w:pPr>
        <w:spacing w:after="0" w:line="5" w:lineRule="exact"/>
        <w:rPr>
          <w:sz w:val="20"/>
          <w:szCs w:val="20"/>
          <w:color w:val="auto"/>
        </w:rPr>
      </w:pPr>
    </w:p>
    <w:p>
      <w:pPr>
        <w:jc w:val="both"/>
        <w:ind w:left="2360"/>
        <w:spacing w:after="0" w:line="259" w:lineRule="auto"/>
        <w:rPr>
          <w:sz w:val="20"/>
          <w:szCs w:val="20"/>
          <w:color w:val="auto"/>
        </w:rPr>
      </w:pPr>
      <w:r>
        <w:rPr>
          <w:rFonts w:ascii="Times New Roman" w:cs="Times New Roman" w:eastAsia="Times New Roman" w:hAnsi="Times New Roman"/>
          <w:sz w:val="14"/>
          <w:szCs w:val="14"/>
          <w:color w:val="auto"/>
        </w:rPr>
        <w:t>Utilimaster dry van truck bodies are the industry standard for heavy-duty commercial delivery and are installed on chassis from a variety of manufacturers, which are supplied with a finished cab. They feature a highly customizable cargo area for maximum versatility and are manufactured with anti-rust galvanized steel, Utiliplate, and aluminum component parts. Available with cargo lengths from 10 to 28 feet and interior heights ranging from 72 to 108 inches.</w:t>
      </w:r>
    </w:p>
    <w:p>
      <w:pPr>
        <w:spacing w:after="0" w:line="200" w:lineRule="exact"/>
        <w:rPr>
          <w:sz w:val="20"/>
          <w:szCs w:val="20"/>
          <w:color w:val="auto"/>
        </w:rPr>
      </w:pPr>
    </w:p>
    <w:p>
      <w:pPr>
        <w:spacing w:after="0" w:line="33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i w:val="1"/>
          <w:iCs w:val="1"/>
          <w:color w:val="auto"/>
        </w:rPr>
        <w:t>Cutaway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1119505" cy="579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9505" cy="579755"/>
                    </a:xfrm>
                    <a:prstGeom prst="rect">
                      <a:avLst/>
                    </a:prstGeom>
                    <a:noFill/>
                  </pic:spPr>
                </pic:pic>
              </a:graphicData>
            </a:graphic>
          </wp:anchor>
        </w:drawing>
      </w:r>
    </w:p>
    <w:p>
      <w:pPr>
        <w:spacing w:after="0" w:line="5" w:lineRule="exact"/>
        <w:rPr>
          <w:sz w:val="20"/>
          <w:szCs w:val="20"/>
          <w:color w:val="auto"/>
        </w:rPr>
      </w:pPr>
    </w:p>
    <w:p>
      <w:pPr>
        <w:jc w:val="both"/>
        <w:ind w:left="2360"/>
        <w:spacing w:after="0" w:line="259" w:lineRule="auto"/>
        <w:rPr>
          <w:sz w:val="20"/>
          <w:szCs w:val="20"/>
          <w:color w:val="auto"/>
        </w:rPr>
      </w:pPr>
      <w:r>
        <w:rPr>
          <w:rFonts w:ascii="Times New Roman" w:cs="Times New Roman" w:eastAsia="Times New Roman" w:hAnsi="Times New Roman"/>
          <w:sz w:val="14"/>
          <w:szCs w:val="14"/>
          <w:color w:val="auto"/>
        </w:rPr>
        <w:t>Utilimaster cutaway truck bodies are the industry standard for medium-duty commercial delivery and are installed on chassis from a variety of manufacturers that are supplied with a finished cab. The highly configurable design can be configured with a set-back walk-through bulkhead allowing access to the cargo area from the cab. Available with cargo lengths from 10 to 18 feet and interior heights ranging from 72 to 90 inches.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6" w:name="page7"/>
    <w:bookmarkEnd w:id="6"/>
    <w:p>
      <w:pPr>
        <w:ind w:left="1980"/>
        <w:spacing w:after="0"/>
        <w:rPr>
          <w:sz w:val="20"/>
          <w:szCs w:val="20"/>
          <w:color w:val="auto"/>
        </w:rPr>
      </w:pPr>
      <w:r>
        <w:rPr>
          <w:rFonts w:ascii="Times New Roman" w:cs="Times New Roman" w:eastAsia="Times New Roman" w:hAnsi="Times New Roman"/>
          <w:sz w:val="14"/>
          <w:szCs w:val="14"/>
          <w:i w:val="1"/>
          <w:iCs w:val="1"/>
          <w:color w:val="auto"/>
        </w:rPr>
        <w:t>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1092200" cy="708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2200" cy="708025"/>
                    </a:xfrm>
                    <a:prstGeom prst="rect">
                      <a:avLst/>
                    </a:prstGeom>
                    <a:noFill/>
                  </pic:spPr>
                </pic:pic>
              </a:graphicData>
            </a:graphic>
          </wp:anchor>
        </w:drawing>
      </w:r>
    </w:p>
    <w:p>
      <w:pPr>
        <w:spacing w:after="0" w:line="5" w:lineRule="exact"/>
        <w:rPr>
          <w:sz w:val="20"/>
          <w:szCs w:val="20"/>
          <w:color w:val="auto"/>
        </w:rPr>
      </w:pPr>
    </w:p>
    <w:p>
      <w:pPr>
        <w:jc w:val="both"/>
        <w:ind w:left="1980"/>
        <w:spacing w:after="0" w:line="257" w:lineRule="auto"/>
        <w:rPr>
          <w:sz w:val="20"/>
          <w:szCs w:val="20"/>
          <w:color w:val="auto"/>
        </w:rPr>
      </w:pPr>
      <w:r>
        <w:rPr>
          <w:rFonts w:ascii="Times New Roman" w:cs="Times New Roman" w:eastAsia="Times New Roman" w:hAnsi="Times New Roman"/>
          <w:sz w:val="14"/>
          <w:szCs w:val="14"/>
          <w:color w:val="auto"/>
        </w:rPr>
        <w:t>A nimble, fuel efficient, and ergonomically designed walk-in van lineup built on commercial cargo van chassis across OEMs is designed to combine the cargo capacity of a traditional walk-in-van with the drivability of a smaller format vehicle. The Velocity lineup makes large product/package deliveries easy, with lower entry/egress height and 3-point grab rails at side and rear doors. Economical to operate, the Velocity features lower operating costs than that of a traditional walk-in van.</w:t>
      </w:r>
    </w:p>
    <w:p>
      <w:pPr>
        <w:spacing w:after="0" w:line="200" w:lineRule="exact"/>
        <w:rPr>
          <w:sz w:val="20"/>
          <w:szCs w:val="20"/>
          <w:color w:val="auto"/>
        </w:rPr>
      </w:pPr>
    </w:p>
    <w:p>
      <w:pPr>
        <w:spacing w:after="0" w:line="20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i w:val="1"/>
          <w:iCs w:val="1"/>
          <w:color w:val="auto"/>
        </w:rPr>
        <w:t>Specialty Upfit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1173480" cy="741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3480" cy="741680"/>
                    </a:xfrm>
                    <a:prstGeom prst="rect">
                      <a:avLst/>
                    </a:prstGeom>
                    <a:noFill/>
                  </pic:spPr>
                </pic:pic>
              </a:graphicData>
            </a:graphic>
          </wp:anchor>
        </w:drawing>
      </w:r>
    </w:p>
    <w:p>
      <w:pPr>
        <w:spacing w:after="0" w:line="5" w:lineRule="exact"/>
        <w:rPr>
          <w:sz w:val="20"/>
          <w:szCs w:val="20"/>
          <w:color w:val="auto"/>
        </w:rPr>
      </w:pPr>
    </w:p>
    <w:p>
      <w:pPr>
        <w:jc w:val="both"/>
        <w:ind w:left="1980"/>
        <w:spacing w:after="0" w:line="266" w:lineRule="auto"/>
        <w:rPr>
          <w:sz w:val="20"/>
          <w:szCs w:val="20"/>
          <w:color w:val="auto"/>
        </w:rPr>
      </w:pPr>
      <w:r>
        <w:rPr>
          <w:rFonts w:ascii="Times New Roman" w:cs="Times New Roman" w:eastAsia="Times New Roman" w:hAnsi="Times New Roman"/>
          <w:sz w:val="14"/>
          <w:szCs w:val="14"/>
          <w:color w:val="auto"/>
        </w:rPr>
        <w:t>We install specialty interior and exterior upfit equipment for walk-in vans, truck bodies, cargo vans, and light duty pick-up trucks for added safety, cargo handling efficiency, and vocational functionality.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i w:val="1"/>
          <w:iCs w:val="1"/>
          <w:color w:val="auto"/>
        </w:rPr>
        <w:t>Parts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-90805</wp:posOffset>
            </wp:positionV>
            <wp:extent cx="431800" cy="970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0" cy="970915"/>
                    </a:xfrm>
                    <a:prstGeom prst="rect">
                      <a:avLst/>
                    </a:prstGeom>
                    <a:noFill/>
                  </pic:spPr>
                </pic:pic>
              </a:graphicData>
            </a:graphic>
          </wp:anchor>
        </w:drawing>
      </w:r>
    </w:p>
    <w:p>
      <w:pPr>
        <w:spacing w:after="0" w:line="5" w:lineRule="exact"/>
        <w:rPr>
          <w:sz w:val="20"/>
          <w:szCs w:val="20"/>
          <w:color w:val="auto"/>
        </w:rPr>
      </w:pPr>
    </w:p>
    <w:p>
      <w:pPr>
        <w:jc w:val="both"/>
        <w:ind w:left="1980"/>
        <w:spacing w:after="0" w:line="266" w:lineRule="auto"/>
        <w:rPr>
          <w:sz w:val="20"/>
          <w:szCs w:val="20"/>
          <w:color w:val="auto"/>
        </w:rPr>
      </w:pPr>
      <w:r>
        <w:rPr>
          <w:rFonts w:ascii="Times New Roman" w:cs="Times New Roman" w:eastAsia="Times New Roman" w:hAnsi="Times New Roman"/>
          <w:sz w:val="14"/>
          <w:szCs w:val="14"/>
          <w:color w:val="auto"/>
        </w:rPr>
        <w:t>We provide a full line of parts and accessories for our walk-in vans and truck bodies. We are solution focused and design and integrate a full line of parts and accessories to meet customer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Marketing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market our commercial vehicles, including walk-in vans, cutaway vans, and truck bodies, under the Aeromaster®, Velocity, Trademaster®, and Utilivan® product brand names. We sell our fleet vehicles to leasing companies, national and fleet accounts (national accounts typically have 1,000+ vehicle fleets and fleet accounts typically have 100+ vehicle fleets), and through a network of independent truck dealers in the U.S. and Canada. We also market our truck bodies direct to retail customers in select markets. We provide aftermarket support, including parts sales and field services, to all of our fleet vehicle customers through our Customer Service Department located in Bristol, Indiana.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Manufacturing</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employ lean manufacturing and continuous improvement in all of our fleet vehicle facilities in order to maximize efficiency and reduce costs. Our facilities are aligned with our commercial and OEM customers for the installation of upfit equipment. Our walk-in vans and truck bodies are manufactured on non-automated assembly lines utilizing a combination of high-skilled tradespeople and assemblers. Our upfit facilities utilize teams of workers requiring minimal capital investment for efficient and timely installation of a variety of equipment for various vocations.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Specialty Vehicles Segment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Specialty Vehicles segment includes a portfolio of business that provides service bodies, RV chassis, vocational upfit and contract manufacturing products and services. We manufacture and assemble truck bodies for a variety of trades and vocations. Our specialty vehicle products are manufactured to customer specifications upon receipt of confirmed purchase orders. As a specialty chassis and vehicle manufacturer, we believe we hold a unique position for continued growth due to the high quality and performance of our products, our proactive engineering, manufacturing expertise and flexibility, and the scalability of our operations. Our specialty vehicle products are generally sold through OEMs in the case of chassis and vehicles and to dealers, distributors or directly to consumers for service bodies and aftermarket parts and accessories. The Specialty Vehicles segment employed approximately 1,000 employees as of December 31, 2024.</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auto"/>
        </w:rPr>
        <w:t>Innovation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trade shows and motorhome rallies, we engage with a diverse group of motorhome owners to understand their needs and ensure our motorhome and specialty chassis incorporate the latest technology and highest quality. Our innovations include new lines of Magnum truck accessories including a cross-body toolbox and ladder rack as well as a new steel XP service body that is precision engineered to eliminate water, salt and chemical traps and features a proprietary high-endurance coating system for a glossy and durable finish to seal out weather and wear. We strategically sell our aftermarket truck products to enthusiasts, dealerships and distributors. We continue to expand our product portfolio and execute innovations in that segment.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Products</w:t>
      </w:r>
    </w:p>
    <w:p>
      <w:pPr>
        <w:spacing w:after="0" w:line="17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i w:val="1"/>
          <w:iCs w:val="1"/>
          <w:color w:val="auto"/>
        </w:rPr>
        <w:t>Truck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1348740" cy="869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8740" cy="869950"/>
                    </a:xfrm>
                    <a:prstGeom prst="rect">
                      <a:avLst/>
                    </a:prstGeom>
                    <a:noFill/>
                  </pic:spPr>
                </pic:pic>
              </a:graphicData>
            </a:graphic>
          </wp:anchor>
        </w:drawing>
      </w:r>
    </w:p>
    <w:p>
      <w:pPr>
        <w:spacing w:after="0" w:line="5" w:lineRule="exact"/>
        <w:rPr>
          <w:sz w:val="20"/>
          <w:szCs w:val="20"/>
          <w:color w:val="auto"/>
        </w:rPr>
      </w:pPr>
    </w:p>
    <w:p>
      <w:pPr>
        <w:jc w:val="both"/>
        <w:ind w:left="2360"/>
        <w:spacing w:after="0" w:line="266" w:lineRule="auto"/>
        <w:rPr>
          <w:sz w:val="20"/>
          <w:szCs w:val="20"/>
          <w:color w:val="auto"/>
        </w:rPr>
      </w:pPr>
      <w:r>
        <w:rPr>
          <w:rFonts w:ascii="Times New Roman" w:cs="Times New Roman" w:eastAsia="Times New Roman" w:hAnsi="Times New Roman"/>
          <w:sz w:val="14"/>
          <w:szCs w:val="14"/>
          <w:color w:val="auto"/>
        </w:rPr>
        <w:t>We manufacture and assemble truck bodies for a variety of trades and vocations. Those body configurations include service, stake, contractor, flatbed, dump/landscape and vocational dry freight bodies under the Royal Truck Body and DuraMag brand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i w:val="1"/>
          <w:iCs w:val="1"/>
          <w:color w:val="auto"/>
        </w:rPr>
        <w:t>Motorhome Chassis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1348740" cy="633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8740" cy="633730"/>
                    </a:xfrm>
                    <a:prstGeom prst="rect">
                      <a:avLst/>
                    </a:prstGeom>
                    <a:noFill/>
                  </pic:spPr>
                </pic:pic>
              </a:graphicData>
            </a:graphic>
          </wp:anchor>
        </w:drawing>
      </w:r>
    </w:p>
    <w:p>
      <w:pPr>
        <w:spacing w:after="0" w:line="5" w:lineRule="exact"/>
        <w:rPr>
          <w:sz w:val="20"/>
          <w:szCs w:val="20"/>
          <w:color w:val="auto"/>
        </w:rPr>
      </w:pPr>
    </w:p>
    <w:p>
      <w:pPr>
        <w:jc w:val="both"/>
        <w:ind w:left="2360"/>
        <w:spacing w:after="0" w:line="257" w:lineRule="auto"/>
        <w:rPr>
          <w:sz w:val="20"/>
          <w:szCs w:val="20"/>
          <w:color w:val="auto"/>
        </w:rPr>
      </w:pPr>
      <w:r>
        <w:rPr>
          <w:rFonts w:ascii="Times New Roman" w:cs="Times New Roman" w:eastAsia="Times New Roman" w:hAnsi="Times New Roman"/>
          <w:sz w:val="14"/>
          <w:szCs w:val="14"/>
          <w:color w:val="auto"/>
        </w:rPr>
        <w:t>We custom manufacture diesel chassis for luxury Class A motorhome to the individual specifications of our motorhome OEM customers under the Spartan RV Chassis brand name. These specifications vary based on specific interior and exterior design specifications, gross vehicle weight, horsepower, and electrical needs of the motorhome bodies to be attached to our chassis. Our motorhome chassis feature diesel engines of 360 to 605 horsepower and are used in motorhomes ranging from 34 to 45 feet.</w:t>
      </w:r>
    </w:p>
    <w:p>
      <w:pPr>
        <w:spacing w:after="0" w:line="29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i w:val="1"/>
          <w:iCs w:val="1"/>
          <w:color w:val="auto"/>
        </w:rPr>
        <w:t>Contract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1348740" cy="849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8740" cy="849630"/>
                    </a:xfrm>
                    <a:prstGeom prst="rect">
                      <a:avLst/>
                    </a:prstGeom>
                    <a:noFill/>
                  </pic:spPr>
                </pic:pic>
              </a:graphicData>
            </a:graphic>
          </wp:anchor>
        </w:drawing>
      </w:r>
    </w:p>
    <w:p>
      <w:pPr>
        <w:spacing w:after="0" w:line="5" w:lineRule="exact"/>
        <w:rPr>
          <w:sz w:val="20"/>
          <w:szCs w:val="20"/>
          <w:color w:val="auto"/>
        </w:rPr>
      </w:pPr>
    </w:p>
    <w:p>
      <w:pPr>
        <w:jc w:val="both"/>
        <w:ind w:left="2360"/>
        <w:spacing w:after="0" w:line="257" w:lineRule="auto"/>
        <w:rPr>
          <w:sz w:val="20"/>
          <w:szCs w:val="20"/>
          <w:color w:val="auto"/>
        </w:rPr>
      </w:pPr>
      <w:r>
        <w:rPr>
          <w:rFonts w:ascii="Times New Roman" w:cs="Times New Roman" w:eastAsia="Times New Roman" w:hAnsi="Times New Roman"/>
          <w:sz w:val="14"/>
          <w:szCs w:val="14"/>
          <w:color w:val="auto"/>
        </w:rPr>
        <w:t>We provide final assembly services for Isuzu N-gas, NRR-EV and F-series chassis for the North American market under the Builtmore Contract Manufacturing brand name. These class 3 and class 5 chassis are utilized in a variety of final configurations for light duty freight hauling and industrial uses. We have an efficient, flexible and a highly skilled team of assembly workers and management, which, along with a dedication to lean manufacturing and continuous improvement, allow us to deliver superior quality and value in contract manufacturing.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i w:val="1"/>
          <w:iCs w:val="1"/>
          <w:color w:val="auto"/>
        </w:rPr>
        <w:t>Specialty Upfit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1416050" cy="3638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6050" cy="363855"/>
                    </a:xfrm>
                    <a:prstGeom prst="rect">
                      <a:avLst/>
                    </a:prstGeom>
                    <a:noFill/>
                  </pic:spPr>
                </pic:pic>
              </a:graphicData>
            </a:graphic>
          </wp:anchor>
        </w:drawing>
      </w:r>
    </w:p>
    <w:p>
      <w:pPr>
        <w:spacing w:after="0" w:line="5" w:lineRule="exact"/>
        <w:rPr>
          <w:sz w:val="20"/>
          <w:szCs w:val="20"/>
          <w:color w:val="auto"/>
        </w:rPr>
      </w:pPr>
    </w:p>
    <w:p>
      <w:pPr>
        <w:jc w:val="both"/>
        <w:ind w:left="2360"/>
        <w:spacing w:after="0" w:line="257" w:lineRule="auto"/>
        <w:rPr>
          <w:sz w:val="20"/>
          <w:szCs w:val="20"/>
          <w:color w:val="auto"/>
        </w:rPr>
      </w:pPr>
      <w:r>
        <w:rPr>
          <w:rFonts w:ascii="Times New Roman" w:cs="Times New Roman" w:eastAsia="Times New Roman" w:hAnsi="Times New Roman"/>
          <w:sz w:val="14"/>
          <w:szCs w:val="14"/>
          <w:color w:val="auto"/>
        </w:rPr>
        <w:t>We provide vocational service body upfit for commercial fleets and government service vehicles under Independent Truck Upfitters. We design and install custom lighting and upfit solutions to meet the unique needs of certain fleet industries including a range of specialty industries such as law enforcement, municipalities, security companies, and providers of utility services and provide durable, reliable, and high-quality product installations for any vehicle requiring specialty exterior and interior accessory upfits under Strobes-R-Us.</w:t>
      </w:r>
    </w:p>
    <w:p>
      <w:pPr>
        <w:spacing w:after="0" w:line="1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i w:val="1"/>
          <w:iCs w:val="1"/>
          <w:color w:val="auto"/>
        </w:rPr>
        <w:t>Parts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-90805</wp:posOffset>
            </wp:positionV>
            <wp:extent cx="1348740" cy="465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8740" cy="465455"/>
                    </a:xfrm>
                    <a:prstGeom prst="rect">
                      <a:avLst/>
                    </a:prstGeom>
                    <a:noFill/>
                  </pic:spPr>
                </pic:pic>
              </a:graphicData>
            </a:graphic>
          </wp:anchor>
        </w:drawing>
      </w:r>
    </w:p>
    <w:p>
      <w:pPr>
        <w:spacing w:after="0" w:line="5" w:lineRule="exact"/>
        <w:rPr>
          <w:sz w:val="20"/>
          <w:szCs w:val="20"/>
          <w:color w:val="auto"/>
        </w:rPr>
      </w:pPr>
    </w:p>
    <w:p>
      <w:pPr>
        <w:jc w:val="both"/>
        <w:ind w:left="2360"/>
        <w:spacing w:after="0" w:line="266" w:lineRule="auto"/>
        <w:rPr>
          <w:sz w:val="20"/>
          <w:szCs w:val="20"/>
          <w:color w:val="auto"/>
        </w:rPr>
      </w:pPr>
      <w:r>
        <w:rPr>
          <w:rFonts w:ascii="Times New Roman" w:cs="Times New Roman" w:eastAsia="Times New Roman" w:hAnsi="Times New Roman"/>
          <w:sz w:val="14"/>
          <w:szCs w:val="14"/>
          <w:color w:val="auto"/>
        </w:rPr>
        <w:t>We provide truck accessories including headache racks, rails, toolboxes, and ladder racks through our Magnum brand and provide a full line of parts and accessories as well as maintenance and repair services for our motorhome and specialty chassis.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auto"/>
        </w:rPr>
        <w:t>Marketing</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sell our service bodies through a commercial dealer network and through OEM pools, and we actively participate in a variety of regional and national trade shows that promote our products. We sell our Class A diesel motorhome chassis to OEMs for use in the manufacturing of luxury motorhomes. We actively participate in a variety of trade shows and motorhome rallies that promote our products and authorized parts in addition to providing an opportunity to communicate with our end customers to showcase our latest innovations and identify needs and opportunities for continuous improvement of our chassis. We also provide vocation-specific equipment upfit services, which are marketed and sold under the Strobes-R-Us brand. We are expanding the marketing of Magnum accessories beyond work trucks to include outdoor enthusiasts and truck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Manufacturing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motorhome chassis, service body, and specialty manufacturing operations employ lean manufacturing, and continuous improvement to bring efficiency and cost reduction throughout our Specialty Vehicles segment. We engineer, manufacture, and assemble Spartan RV chassis, as well as other specialty vehicles on non-automated assembly lines. We assemble the Isuzu N-gas, the NRR-EV and F-series chassis on high-volume assembly lines that utilize a variety of state-of-the-art automation and testing equipment. Our upfit facilities utilize teams of workers requiring minimal capital investment for efficient and timely installation of a variety of equipment.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Competition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principal methods we use to build competitive advantages include custom design capability, high product quality, superior customer service and quick delivery. We employ a solutions-based approach to offer specialized products tailored to customer needs across the spectrum of our products. We compete with companies that manufacture for similar markets, including some divisions of large diversified organizations that have total sales and financial resources exceeding ours. Our competition in the fleet vehicle market ranges from one large manufacturer in the walk-in van market to a number of smaller manufacturers in the truck body and equipment upfit markets. Our competitors in the specialty vehicle market are principally large multi-product line manufacturers of specialty and heavy-duty vehicles. In addition to established mature competitors, we also face competition from new market entrants including technology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Suppliers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dedicated to establishing long-term and mutually beneficial relationships with our suppliers. Through these relationships, we benefit from new innovations, higher quality, reduced lead times, smoother/faster manufacturing ramp-up of new vehicle introductions and lower total costs of doing business. Our accelerating growth and company-wide supply chain management initiatives allow us to benefit from economies of scale and maximize focus on a common vision.</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single largest commodity directly utilized in production is aluminum, which we purchase under purchase agreements based on forecasted production requirements. To a lesser extent we are dependent upon suppliers of lumber, fiberglass and steel for our manufacturing. We have initiated long-term supplier agreements and are consolidating suppliers where beneficial to gain pricing advantages, good quality and delivery. There are several readily available sources for the majority of these raw materials. However, we are heavily dependent on specific component part products from a few single source vendors. We maintain a qualification, on-site inspection, assistance, and performance measurement system to control risks associated with reliance on suppliers. We normally do not carry inventories of such raw materials or components in excess of those reasonably required to meet production and shipping schedules. Material and component cost increases are passed on to our customers whenever possible. There can be no assurance that there will not be any supply issues over the long term.</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assembly of certain of our vehicles, we use chassis supplied by third parties, and we generally do not purchase these chassis for inventory. For this market, we typically accept shipment of truck chassis owned by dealers or end users, for the purpose of installing and/or manufacturing our specialized commercial vehicles on such chassis, but from time to time we do purchase chassis for use in fulfilling certain customer orders.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Research and Development</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success depends on our ability to innovate and add new products and features ahead of changing market demands and new regulatory requirements. Thus, we emphasize research and development and commit significant resources to develop and adapt new products and production techniques. Our engineering group's goal throughout the company: to deliver world class products and manufacturing processes regardless of product line or location. Results are accomplished with the appropriate blend of predictive analysis and physical property testing in our Research and Development facilities along with ride-and-drive analysis. Our efforts range from executing special orders for current production; to new production development for new functionality and product improvements; to exciting technologies that are new to the markets we serve, like vehicle electrification. Our engineering actions are driven by our firm commitment to safety, quality, delivery, and productivity. We spent $16.3 million, $25.2 million, and $25.3 million on research and development in 2024, 2023, and 2022, respectively.</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Shyft’s Blue Arc™ EV Solutions brought forward an all-electric purpose-built Class 4 chassis platform built from the ground up and designed to serve a wide array of medium-duty truck markets, from last mile parcel delivery fleets to work trucks. The EV-powered chassis features customizable length and wheelbase, making it well-suited for a variety of vehicle types. The chassis’ modular design can accommodate multiple GVWR classifications, based on build out and usage.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Product Warranties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provide limited warranties against assembly and construction defects. These warranties generally provide for the replacement or repair of defective parts or workmanship for specified periods, ranging from one year to twenty years, following the date of sale. With the use of validation testing, predictive analysis tools and engineering and design standards, we strive to continuously improve product quality and durability and reduce our exposure to warranty claims. The end users also may receive limited warranties from suppliers of components that are incorporated into our chassis and vehicles. For more information concerning our product warranties,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Note 10 –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of the Notes to Consolidated Financial Statements in Item 8 appearing in this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Patents, Trademarks and Licenses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25 United States patents, which include rights to the design and structure of chassis and certain peripheral equipment, and we have 18 United States, Canada, and Patent Cooperation Treaty pending patent applications. The existing patents will expire on various dates from 2025 through 2042 and utility patents are subject to payment of required maintenance fees. We also own or license 81 federal and international trademark and service mark registrations. The trademark and service mark registrations are generally renewable under applicable laws, subject to payment of required fees and the filing of affidavits of use. In addition, we have 32 pending trademark applications.</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products and services are identified by our trademarks and service marks. Our trademarks and service marks are valuable assets to both of our business segments. We are not aware of any infringing uses or any prior claims of ownership of our trademarks that could materially affect our business. It is our policy to pursue registration of our primary marks whenever possible and to vigorously defend our patents, trademarks and other proprietary marks against infringement or other threats to the extent practicable under applicable laws.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Human Capital Management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people are the most critical component in our continued success, and we strive to attract high-performing talent. As of December 31, 2024, we employed approximately 2,900 employees and contractors. Approximately 11.9% of our total workforce consists of contractors, including all personnel at our Saltillo, Mexico operation. Our production processes leverage a combination of skilled tradespeople and high-touch assemblers working in body, electrical, mechanical, paint, and assembly operations. We strive to create a workplace of choice to attract, retain, and develop top talent to achieve our vision and deliver shareholder results.</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our locations, we compete with many local companies for talent. We have implemented talent strategies and market competitive wages and benefits to support talent acquisition and retention. In addition to these actions, we have implemented employee surveys and focus groups that encourage our employees to share their opinions and feedback on the culture of our company. The results of the surveys are analyzed and measured to learn how we can enhance and accelerate improvements in the attraction and retention in a difficult talent environment.</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adhere to a philosophy that includes, among other things, commitments to create ongoing job opportunities, pay fair wages, and protect worker health and safety. Fundamental to these commitments are our Company’s core values of honesty and integrity, accountability, trust, and performance excellence. Management considers relations with the Company’s workforce to be positive.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Compensation and Benefits</w:t>
      </w:r>
    </w:p>
    <w:p>
      <w:pPr>
        <w:spacing w:after="0" w:line="18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4"/>
          <w:szCs w:val="14"/>
          <w:color w:val="auto"/>
        </w:rPr>
        <w:t>We believe the structure of our compensation packages provides the appropriate incentives to attract, retain and motivate our employees. We provide base pay that is competitive and that aligns with employee positions, skill levels, experience and geographic location. In addition to base pay, we seek to reward employees with incentive awards, recognition programs, educational opportunities, paid time off, and equity awards for employees in certain roles.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Inclusion and Belonging</w:t>
      </w:r>
    </w:p>
    <w:p>
      <w:pPr>
        <w:spacing w:after="0" w:line="18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4"/>
          <w:szCs w:val="14"/>
          <w:color w:val="auto"/>
        </w:rPr>
        <w:t>We value and advance the belonging and inclusion of the people with whom we work. We are committed to equal opportunity and are intolerant of discrimination and harassment. We strive to maintain workplaces that are free from discrimination or harassment on the basis of race, sex, color, national or social origin, ethnicity, religion, age, disability, sexual orientation, gender identification or expression, political opinion or any other status protected by applicable law.</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basis for recruitment, hiring, placement, development, training, compensation and advancement at the Company includes qualifications, performance, skills and experience.</w:t>
      </w:r>
    </w:p>
    <w:p>
      <w:pPr>
        <w:spacing w:after="0" w:line="179"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4"/>
          <w:szCs w:val="14"/>
          <w:color w:val="auto"/>
        </w:rPr>
        <w:t>We do not tolerate disrespectful or inappropriate behavior, unfair treatment or retaliation of any kind. Harassment is not tolerated in the workplace and in any work-related circumstance outside the workplace.</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Customer Base</w:t>
      </w:r>
    </w:p>
    <w:p>
      <w:pPr>
        <w:spacing w:after="0" w:line="18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4"/>
          <w:szCs w:val="14"/>
          <w:color w:val="auto"/>
        </w:rPr>
        <w:t>We serve customers ranging from municipalities to OEMs to commercial customers and vehicle dealers throughout our product lines. Sales to our top 10 customers in 2024 accounted for 49.9% of our sales. No customer individually exceeded 10% of our consolidated sales for 2024 and 2023. Sales to customers that individually exceeded 10% of our consolidated sales for 2022 are detailed in the chart below.</w:t>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Sales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Percentage of</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18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Year</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Customer</w:t>
            </w: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vMerge w:val="restart"/>
          </w:tcPr>
          <w:p>
            <w:pPr>
              <w:jc w:val="center"/>
              <w:ind w:left="369"/>
              <w:spacing w:after="0"/>
              <w:rPr>
                <w:sz w:val="20"/>
                <w:szCs w:val="20"/>
                <w:color w:val="auto"/>
              </w:rPr>
            </w:pPr>
            <w:r>
              <w:rPr>
                <w:rFonts w:ascii="Times New Roman" w:cs="Times New Roman" w:eastAsia="Times New Roman" w:hAnsi="Times New Roman"/>
                <w:sz w:val="14"/>
                <w:szCs w:val="14"/>
                <w:color w:val="auto"/>
              </w:rPr>
              <w:t>consolidated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Segment</w:t>
            </w:r>
          </w:p>
        </w:tc>
        <w:tc>
          <w:tcPr>
            <w:tcW w:w="0" w:type="dxa"/>
            <w:vAlign w:val="bottom"/>
          </w:tcPr>
          <w:p>
            <w:pPr>
              <w:spacing w:after="0"/>
              <w:rPr>
                <w:sz w:val="1"/>
                <w:szCs w:val="1"/>
                <w:color w:val="auto"/>
              </w:rPr>
            </w:pPr>
          </w:p>
        </w:tc>
      </w:tr>
      <w:tr>
        <w:trPr>
          <w:trHeight w:val="85"/>
        </w:trPr>
        <w:tc>
          <w:tcPr>
            <w:tcW w:w="1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millions)</w:t>
            </w: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vMerge w:val="restart"/>
          </w:tcPr>
          <w:p>
            <w:pPr>
              <w:jc w:val="center"/>
              <w:ind w:left="369"/>
              <w:spacing w:after="0"/>
              <w:rPr>
                <w:sz w:val="20"/>
                <w:szCs w:val="20"/>
                <w:color w:val="auto"/>
              </w:rPr>
            </w:pPr>
            <w:r>
              <w:rPr>
                <w:rFonts w:ascii="Times New Roman" w:cs="Times New Roman" w:eastAsia="Times New Roman" w:hAnsi="Times New Roman"/>
                <w:sz w:val="14"/>
                <w:szCs w:val="14"/>
                <w:color w:val="auto"/>
              </w:rPr>
              <w:t>sales</w:t>
            </w: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8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8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2022</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Amazon</w:t>
            </w:r>
          </w:p>
        </w:tc>
        <w:tc>
          <w:tcPr>
            <w:tcW w:w="1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FVS</w:t>
            </w:r>
          </w:p>
        </w:tc>
        <w:tc>
          <w:tcPr>
            <w:tcW w:w="0" w:type="dxa"/>
            <w:vAlign w:val="bottom"/>
          </w:tcPr>
          <w:p>
            <w:pPr>
              <w:spacing w:after="0"/>
              <w:rPr>
                <w:sz w:val="1"/>
                <w:szCs w:val="1"/>
                <w:color w:val="auto"/>
              </w:rPr>
            </w:pPr>
          </w:p>
        </w:tc>
      </w:tr>
      <w:tr>
        <w:trPr>
          <w:trHeight w:val="184"/>
        </w:trPr>
        <w:tc>
          <w:tcPr>
            <w:tcW w:w="18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2022</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Newmar</w:t>
            </w:r>
          </w:p>
        </w:tc>
        <w:tc>
          <w:tcPr>
            <w:tcW w:w="1300" w:type="dxa"/>
            <w:vAlign w:val="bottom"/>
          </w:tcPr>
          <w:p>
            <w:pPr>
              <w:spacing w:after="0"/>
              <w:rPr>
                <w:sz w:val="16"/>
                <w:szCs w:val="16"/>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10.5%</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SV</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4"/>
          <w:szCs w:val="14"/>
          <w:color w:val="auto"/>
        </w:rPr>
        <w:t>We do have other significant customers which, if the relationship changes significantly, could have a material adverse impact on our financial position and results of operations. We believe that we have developed strong relationships with our customers and continually work to develop new customers and markets. See related risk factors in Item 1A of this Form 10-K.</w:t>
      </w:r>
    </w:p>
    <w:p>
      <w:pPr>
        <w:spacing w:after="0" w:line="125"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4"/>
          <w:szCs w:val="14"/>
          <w:color w:val="auto"/>
        </w:rPr>
        <w:t>Sales to customers outside the United States were $48.4 million, $24.7 million, and $7.7 million for the years ended December 31, 2024, 2023 and 2022, respectively, or 6.2%, 2.8%, and 0.7%, respectively, of sales for those years. Substantially all of our long-lived assets are located in the United States.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w w:val="98"/>
              </w:rPr>
              <w:t>Order Backlog</w:t>
            </w:r>
          </w:p>
        </w:tc>
        <w:tc>
          <w:tcPr>
            <w:tcW w:w="4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51"/>
        </w:trPr>
        <w:tc>
          <w:tcPr>
            <w:tcW w:w="5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Our order backlog by reportable segment is summarized in the following table (in thousands).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December 31,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Decrease</w:t>
            </w:r>
          </w:p>
        </w:tc>
        <w:tc>
          <w:tcPr>
            <w:tcW w:w="10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FVS</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244,784</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325,003</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(80,219)</w:t>
            </w:r>
          </w:p>
        </w:tc>
      </w:tr>
      <w:tr>
        <w:trPr>
          <w:trHeight w:val="170"/>
        </w:trPr>
        <w:tc>
          <w:tcPr>
            <w:tcW w:w="2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SV</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84,269</w:t>
            </w:r>
          </w:p>
        </w:tc>
        <w:tc>
          <w:tcPr>
            <w:tcW w:w="28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(15,809)</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consolidated</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313,244</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409,272</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(96,028)</w:t>
            </w: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Our FVS backlog decreased by $80.2 million, or 24.7%. Our SV segment backlog decreased by $15.8 million, or 18.8%.</w:t>
      </w:r>
    </w:p>
    <w:p>
      <w:pPr>
        <w:spacing w:after="0" w:line="179"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4"/>
          <w:szCs w:val="14"/>
          <w:color w:val="auto"/>
        </w:rPr>
        <w:t>Orders in the backlog are subject to modification, cancellation or rescheduling by customers. Although the backlog of unfilled orders is one of many indicators of market demand, several factors, such as chassis and component availability, changes in production rates, available capacity, new product introductions and competitive pricing actions, may affect actual sales. Accordingly, a comparison of backlog from period-to-period is not necessarily indicative of eventual actual shipments.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69215</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300"/>
          </w:cols>
          <w:pgMar w:left="280" w:top="48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Non-GAAP Financial Measure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Form 10-K presents Adjusted EBITDA (earnings before interest, taxes, depreciation and amortization), which is a non-GAAP financial measure. This non-GAAP measure is calculated by excluding items that we believe to be infrequent or not indicative of our underlying operating performance, as well as certain non-cash expenses. We define Adjusted EBITDA as income (loss) from continuing operations before interest, income taxes, depreciation and amortization, as adjusted to eliminate the impact of restructuring charges, transaction related expenses and adjustments, non-cash stock-based compensation expenses, and other gains and losses not reflective of our ongoing operations.</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Income (loss) from continuing operations to Adjusted EBITDA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6"/>
                <w:szCs w:val="16"/>
                <w:color w:val="auto"/>
              </w:rPr>
            </w:pPr>
          </w:p>
        </w:tc>
      </w:tr>
      <w:tr>
        <w:trPr>
          <w:trHeight w:val="161"/>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7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(2,795)</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6,464</w:t>
            </w:r>
          </w:p>
        </w:tc>
        <w:tc>
          <w:tcPr>
            <w:tcW w:w="7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36,558</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69,974</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38,289</w:t>
            </w:r>
          </w:p>
        </w:tc>
      </w:tr>
      <w:tr>
        <w:trPr>
          <w:trHeight w:val="155"/>
        </w:trPr>
        <w:tc>
          <w:tcPr>
            <w:tcW w:w="3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7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(1,230)</w:t>
            </w: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(347)</w:t>
            </w:r>
          </w:p>
        </w:tc>
      </w:tr>
      <w:tr>
        <w:trPr>
          <w:trHeight w:val="1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6,527</w:t>
            </w: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2,833</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414</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1,293</w:t>
            </w:r>
          </w:p>
        </w:tc>
      </w:tr>
      <w:tr>
        <w:trPr>
          <w:trHeight w:val="17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566</w:t>
            </w: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(5,768)</w:t>
            </w:r>
          </w:p>
        </w:tc>
        <w:tc>
          <w:tcPr>
            <w:tcW w:w="7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7,368</w:t>
            </w: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14,506</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9,867</w:t>
            </w:r>
          </w:p>
        </w:tc>
      </w:tr>
      <w:tr>
        <w:trPr>
          <w:trHeight w:val="1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16,953</w:t>
            </w: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14,774</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11,356</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13,903</w:t>
            </w:r>
          </w:p>
        </w:tc>
      </w:tr>
      <w:tr>
        <w:trPr>
          <w:trHeight w:val="17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1,741</w:t>
            </w:r>
          </w:p>
        </w:tc>
        <w:tc>
          <w:tcPr>
            <w:tcW w:w="7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757</w:t>
            </w: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505</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1,873</w:t>
            </w:r>
          </w:p>
        </w:tc>
      </w:tr>
      <w:tr>
        <w:trPr>
          <w:trHeight w:val="1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related expenses and adjustments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10,154</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440</w:t>
            </w: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884</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1,585</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1,332</w:t>
            </w:r>
          </w:p>
        </w:tc>
      </w:tr>
      <w:tr>
        <w:trPr>
          <w:trHeight w:val="17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7,834</w:t>
            </w:r>
          </w:p>
        </w:tc>
        <w:tc>
          <w:tcPr>
            <w:tcW w:w="7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7,619</w:t>
            </w: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8,745</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7,706</w:t>
            </w:r>
          </w:p>
        </w:tc>
      </w:tr>
      <w:tr>
        <w:trPr>
          <w:trHeight w:val="1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write-off of assets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1,872</w:t>
            </w: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2,430</w:t>
            </w:r>
          </w:p>
        </w:tc>
      </w:tr>
      <w:tr>
        <w:trPr>
          <w:trHeight w:val="17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Legacy legal matters</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956</w:t>
            </w:r>
          </w:p>
        </w:tc>
        <w:tc>
          <w:tcPr>
            <w:tcW w:w="7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Non-recurring professional fees</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288</w:t>
            </w: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1,568</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CEO transition</w:t>
            </w:r>
          </w:p>
        </w:tc>
        <w:tc>
          <w:tcPr>
            <w:tcW w:w="7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147</w:t>
            </w:r>
          </w:p>
        </w:tc>
        <w:tc>
          <w:tcPr>
            <w:tcW w:w="8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2,629</w:t>
            </w:r>
          </w:p>
        </w:tc>
        <w:tc>
          <w:tcPr>
            <w:tcW w:w="7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liquidation of JV</w:t>
            </w: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643</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Gain from insurance settlement</w:t>
            </w:r>
          </w:p>
        </w:tc>
        <w:tc>
          <w:tcPr>
            <w:tcW w:w="7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(1,737)</w:t>
            </w:r>
          </w:p>
        </w:tc>
        <w:tc>
          <w:tcPr>
            <w:tcW w:w="8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7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48,848</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39,968</w:t>
            </w:r>
          </w:p>
        </w:tc>
        <w:tc>
          <w:tcPr>
            <w:tcW w:w="7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70,793</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108,066</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76,346</w:t>
            </w: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Available Information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other reports (and amendments thereto) filed or furnished pursuant to Section 13(a) of the Securities Exchange Act are available, free of charge, on our internet website (</w:t>
      </w:r>
      <w:r>
        <w:rPr>
          <w:rFonts w:ascii="Times New Roman" w:cs="Times New Roman" w:eastAsia="Times New Roman" w:hAnsi="Times New Roman"/>
          <w:sz w:val="14"/>
          <w:szCs w:val="14"/>
          <w:u w:val="single" w:color="auto"/>
          <w:color w:val="auto"/>
        </w:rPr>
        <w:t>www.TheShyftGroup.com</w:t>
      </w:r>
      <w:r>
        <w:rPr>
          <w:rFonts w:ascii="Times New Roman" w:cs="Times New Roman" w:eastAsia="Times New Roman" w:hAnsi="Times New Roman"/>
          <w:sz w:val="14"/>
          <w:szCs w:val="14"/>
          <w:color w:val="auto"/>
        </w:rPr>
        <w:t>) as soon as reasonably practicable after we electronically file or furnish such materials with the Securities and Exchange Commission (“SEC”).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SEC maintains an internet website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that contains reports, proxy and information statements, and other information regarding issuers that file electronically with the SEC.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3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Information About our Executive Officers</w:t>
            </w:r>
          </w:p>
        </w:tc>
        <w:tc>
          <w:tcPr>
            <w:tcW w:w="6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192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51"/>
        </w:trPr>
        <w:tc>
          <w:tcPr>
            <w:tcW w:w="94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executive officers of the Company, their business experience and their ages as of February 20, 2025, are as follows:</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6"/>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Executive Officer</w:t>
            </w:r>
          </w:p>
        </w:tc>
      </w:tr>
      <w:tr>
        <w:trPr>
          <w:trHeight w:val="184"/>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23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color w:val="auto"/>
              </w:rPr>
              <w:t>Position</w:t>
            </w:r>
          </w:p>
        </w:tc>
        <w:tc>
          <w:tcPr>
            <w:tcW w:w="6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Business Experience</w:t>
            </w:r>
          </w:p>
        </w:tc>
        <w:tc>
          <w:tcPr>
            <w:tcW w:w="5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w w:val="94"/>
              </w:rPr>
              <w:t>Age</w:t>
            </w:r>
          </w:p>
        </w:tc>
        <w:tc>
          <w:tcPr>
            <w:tcW w:w="1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Since</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7"/>
        </w:trPr>
        <w:tc>
          <w:tcPr>
            <w:tcW w:w="11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John Dunn</w:t>
            </w:r>
          </w:p>
        </w:tc>
        <w:tc>
          <w:tcPr>
            <w:tcW w:w="2320" w:type="dxa"/>
            <w:vAlign w:val="bottom"/>
            <w:gridSpan w:val="3"/>
          </w:tcPr>
          <w:p>
            <w:pPr>
              <w:ind w:left="560"/>
              <w:spacing w:after="0" w:line="127"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6000" w:type="dxa"/>
            <w:vAlign w:val="bottom"/>
          </w:tcPr>
          <w:p>
            <w:pPr>
              <w:ind w:left="60"/>
              <w:spacing w:after="0" w:line="127" w:lineRule="exact"/>
              <w:rPr>
                <w:sz w:val="20"/>
                <w:szCs w:val="20"/>
                <w:color w:val="auto"/>
              </w:rPr>
            </w:pPr>
            <w:r>
              <w:rPr>
                <w:rFonts w:ascii="Times New Roman" w:cs="Times New Roman" w:eastAsia="Times New Roman" w:hAnsi="Times New Roman"/>
                <w:sz w:val="14"/>
                <w:szCs w:val="14"/>
                <w:color w:val="auto"/>
              </w:rPr>
              <w:t>President and Chief Executive Officer and Director, since October 2023. President, Shyft Fleet Vehicles</w:t>
            </w:r>
          </w:p>
        </w:tc>
        <w:tc>
          <w:tcPr>
            <w:tcW w:w="500" w:type="dxa"/>
            <w:vAlign w:val="bottom"/>
          </w:tcPr>
          <w:p>
            <w:pPr>
              <w:jc w:val="center"/>
              <w:ind w:right="89"/>
              <w:spacing w:after="0" w:line="127" w:lineRule="exact"/>
              <w:rPr>
                <w:sz w:val="20"/>
                <w:szCs w:val="20"/>
                <w:color w:val="auto"/>
              </w:rPr>
            </w:pPr>
            <w:r>
              <w:rPr>
                <w:rFonts w:ascii="Times New Roman" w:cs="Times New Roman" w:eastAsia="Times New Roman" w:hAnsi="Times New Roman"/>
                <w:sz w:val="14"/>
                <w:szCs w:val="14"/>
                <w:color w:val="auto"/>
                <w:w w:val="99"/>
              </w:rPr>
              <w:t>58</w:t>
            </w:r>
          </w:p>
        </w:tc>
        <w:tc>
          <w:tcPr>
            <w:tcW w:w="1300" w:type="dxa"/>
            <w:vAlign w:val="bottom"/>
          </w:tcPr>
          <w:p>
            <w:pPr>
              <w:jc w:val="right"/>
              <w:ind w:right="749"/>
              <w:spacing w:after="0" w:line="127" w:lineRule="exact"/>
              <w:rPr>
                <w:sz w:val="20"/>
                <w:szCs w:val="20"/>
                <w:color w:val="auto"/>
              </w:rPr>
            </w:pPr>
            <w:r>
              <w:rPr>
                <w:rFonts w:ascii="Times New Roman" w:cs="Times New Roman" w:eastAsia="Times New Roman" w:hAnsi="Times New Roman"/>
                <w:sz w:val="14"/>
                <w:szCs w:val="14"/>
                <w:color w:val="auto"/>
              </w:rPr>
              <w:t>2023</w:t>
            </w:r>
          </w:p>
        </w:tc>
      </w:tr>
      <w:tr>
        <w:trPr>
          <w:trHeight w:val="170"/>
        </w:trPr>
        <w:tc>
          <w:tcPr>
            <w:tcW w:w="1160" w:type="dxa"/>
            <w:vAlign w:val="bottom"/>
          </w:tcPr>
          <w:p>
            <w:pPr>
              <w:spacing w:after="0"/>
              <w:rPr>
                <w:sz w:val="14"/>
                <w:szCs w:val="14"/>
                <w:color w:val="auto"/>
              </w:rPr>
            </w:pPr>
          </w:p>
        </w:tc>
        <w:tc>
          <w:tcPr>
            <w:tcW w:w="23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Officer</w:t>
            </w:r>
          </w:p>
        </w:tc>
        <w:tc>
          <w:tcPr>
            <w:tcW w:w="6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and Services from January 2023 to October 2023. President and CEO, North and South America of</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Plastic Omnium, Clean Energy Systems from April 2014 to December 2022. President, Brose North</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4"/>
        </w:trPr>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America from July 2012 to April 2014.</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46"/>
        </w:trPr>
        <w:tc>
          <w:tcPr>
            <w:tcW w:w="11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Scott M. Ocholik</w:t>
            </w:r>
          </w:p>
        </w:tc>
        <w:tc>
          <w:tcPr>
            <w:tcW w:w="2320" w:type="dxa"/>
            <w:vAlign w:val="bottom"/>
            <w:gridSpan w:val="3"/>
          </w:tcPr>
          <w:p>
            <w:pPr>
              <w:ind w:left="560"/>
              <w:spacing w:after="0" w:line="146" w:lineRule="exact"/>
              <w:rPr>
                <w:sz w:val="20"/>
                <w:szCs w:val="20"/>
                <w:color w:val="auto"/>
              </w:rPr>
            </w:pPr>
            <w:r>
              <w:rPr>
                <w:rFonts w:ascii="Times New Roman" w:cs="Times New Roman" w:eastAsia="Times New Roman" w:hAnsi="Times New Roman"/>
                <w:sz w:val="14"/>
                <w:szCs w:val="14"/>
                <w:color w:val="auto"/>
              </w:rPr>
              <w:t>Interim Chief Financial</w:t>
            </w:r>
          </w:p>
        </w:tc>
        <w:tc>
          <w:tcPr>
            <w:tcW w:w="6000" w:type="dxa"/>
            <w:vAlign w:val="bottom"/>
          </w:tcPr>
          <w:p>
            <w:pPr>
              <w:ind w:left="60"/>
              <w:spacing w:after="0" w:line="146" w:lineRule="exact"/>
              <w:rPr>
                <w:sz w:val="20"/>
                <w:szCs w:val="20"/>
                <w:color w:val="auto"/>
              </w:rPr>
            </w:pPr>
            <w:r>
              <w:rPr>
                <w:rFonts w:ascii="Times New Roman" w:cs="Times New Roman" w:eastAsia="Times New Roman" w:hAnsi="Times New Roman"/>
                <w:sz w:val="14"/>
                <w:szCs w:val="14"/>
                <w:color w:val="auto"/>
              </w:rPr>
              <w:t>Interim Chief Financial Officer since January 2025. Vice President, Chief Accounting Officer and</w:t>
            </w:r>
          </w:p>
        </w:tc>
        <w:tc>
          <w:tcPr>
            <w:tcW w:w="50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w w:val="99"/>
              </w:rPr>
              <w:t>51</w:t>
            </w:r>
          </w:p>
        </w:tc>
        <w:tc>
          <w:tcPr>
            <w:tcW w:w="1300" w:type="dxa"/>
            <w:vAlign w:val="bottom"/>
          </w:tcPr>
          <w:p>
            <w:pPr>
              <w:jc w:val="right"/>
              <w:ind w:right="749"/>
              <w:spacing w:after="0" w:line="146" w:lineRule="exact"/>
              <w:rPr>
                <w:sz w:val="20"/>
                <w:szCs w:val="20"/>
                <w:color w:val="auto"/>
              </w:rPr>
            </w:pPr>
            <w:r>
              <w:rPr>
                <w:rFonts w:ascii="Times New Roman" w:cs="Times New Roman" w:eastAsia="Times New Roman" w:hAnsi="Times New Roman"/>
                <w:sz w:val="14"/>
                <w:szCs w:val="14"/>
                <w:color w:val="auto"/>
              </w:rPr>
              <w:t>2025</w:t>
            </w:r>
          </w:p>
        </w:tc>
      </w:tr>
      <w:tr>
        <w:trPr>
          <w:trHeight w:val="170"/>
        </w:trPr>
        <w:tc>
          <w:tcPr>
            <w:tcW w:w="1160" w:type="dxa"/>
            <w:vAlign w:val="bottom"/>
          </w:tcPr>
          <w:p>
            <w:pPr>
              <w:spacing w:after="0"/>
              <w:rPr>
                <w:sz w:val="14"/>
                <w:szCs w:val="14"/>
                <w:color w:val="auto"/>
              </w:rPr>
            </w:pPr>
          </w:p>
        </w:tc>
        <w:tc>
          <w:tcPr>
            <w:tcW w:w="23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Officer and Vice President,</w:t>
            </w:r>
          </w:p>
        </w:tc>
        <w:tc>
          <w:tcPr>
            <w:tcW w:w="6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Corporate Controller since July 19, 2022. Vice President and Corporate Controller from July 2019 to</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1160" w:type="dxa"/>
            <w:vAlign w:val="bottom"/>
          </w:tcPr>
          <w:p>
            <w:pPr>
              <w:spacing w:after="0"/>
              <w:rPr>
                <w:sz w:val="14"/>
                <w:szCs w:val="14"/>
                <w:color w:val="auto"/>
              </w:rPr>
            </w:pPr>
          </w:p>
        </w:tc>
        <w:tc>
          <w:tcPr>
            <w:tcW w:w="23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Chief Accounting Officer and</w:t>
            </w:r>
          </w:p>
        </w:tc>
        <w:tc>
          <w:tcPr>
            <w:tcW w:w="6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July 2022. Executive Vice President and Chief Financial Officer of Gestamp North America from</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4"/>
        </w:trPr>
        <w:tc>
          <w:tcPr>
            <w:tcW w:w="1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color w:val="auto"/>
              </w:rPr>
              <w:t>Corporate Controller</w:t>
            </w:r>
          </w:p>
        </w:tc>
        <w:tc>
          <w:tcPr>
            <w:tcW w:w="6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December 2015 to May 2018.</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46"/>
        </w:trPr>
        <w:tc>
          <w:tcPr>
            <w:tcW w:w="11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Jacob Farmer</w:t>
            </w:r>
          </w:p>
        </w:tc>
        <w:tc>
          <w:tcPr>
            <w:tcW w:w="2320" w:type="dxa"/>
            <w:vAlign w:val="bottom"/>
            <w:gridSpan w:val="3"/>
          </w:tcPr>
          <w:p>
            <w:pPr>
              <w:ind w:left="560"/>
              <w:spacing w:after="0" w:line="146" w:lineRule="exact"/>
              <w:rPr>
                <w:sz w:val="20"/>
                <w:szCs w:val="20"/>
                <w:color w:val="auto"/>
              </w:rPr>
            </w:pPr>
            <w:r>
              <w:rPr>
                <w:rFonts w:ascii="Times New Roman" w:cs="Times New Roman" w:eastAsia="Times New Roman" w:hAnsi="Times New Roman"/>
                <w:sz w:val="14"/>
                <w:szCs w:val="14"/>
                <w:color w:val="auto"/>
              </w:rPr>
              <w:t>President, Fleet Vehicles and</w:t>
            </w:r>
          </w:p>
        </w:tc>
        <w:tc>
          <w:tcPr>
            <w:tcW w:w="6000" w:type="dxa"/>
            <w:vAlign w:val="bottom"/>
          </w:tcPr>
          <w:p>
            <w:pPr>
              <w:ind w:left="60"/>
              <w:spacing w:after="0" w:line="146" w:lineRule="exact"/>
              <w:rPr>
                <w:sz w:val="20"/>
                <w:szCs w:val="20"/>
                <w:color w:val="auto"/>
              </w:rPr>
            </w:pPr>
            <w:r>
              <w:rPr>
                <w:rFonts w:ascii="Times New Roman" w:cs="Times New Roman" w:eastAsia="Times New Roman" w:hAnsi="Times New Roman"/>
                <w:sz w:val="14"/>
                <w:szCs w:val="14"/>
                <w:color w:val="auto"/>
              </w:rPr>
              <w:t>President, Fleet Vehicles and Services since January 2024. President, Specialty Vehicles since July</w:t>
            </w:r>
          </w:p>
        </w:tc>
        <w:tc>
          <w:tcPr>
            <w:tcW w:w="50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w w:val="99"/>
              </w:rPr>
              <w:t>47</w:t>
            </w:r>
          </w:p>
        </w:tc>
        <w:tc>
          <w:tcPr>
            <w:tcW w:w="1300" w:type="dxa"/>
            <w:vAlign w:val="bottom"/>
          </w:tcPr>
          <w:p>
            <w:pPr>
              <w:jc w:val="right"/>
              <w:ind w:right="749"/>
              <w:spacing w:after="0" w:line="146" w:lineRule="exact"/>
              <w:rPr>
                <w:sz w:val="20"/>
                <w:szCs w:val="20"/>
                <w:color w:val="auto"/>
              </w:rPr>
            </w:pPr>
            <w:r>
              <w:rPr>
                <w:rFonts w:ascii="Times New Roman" w:cs="Times New Roman" w:eastAsia="Times New Roman" w:hAnsi="Times New Roman"/>
                <w:sz w:val="14"/>
                <w:szCs w:val="14"/>
                <w:color w:val="auto"/>
              </w:rPr>
              <w:t>2023</w:t>
            </w:r>
          </w:p>
        </w:tc>
      </w:tr>
      <w:tr>
        <w:trPr>
          <w:trHeight w:val="170"/>
        </w:trPr>
        <w:tc>
          <w:tcPr>
            <w:tcW w:w="1160" w:type="dxa"/>
            <w:vAlign w:val="bottom"/>
          </w:tcPr>
          <w:p>
            <w:pPr>
              <w:spacing w:after="0"/>
              <w:rPr>
                <w:sz w:val="14"/>
                <w:szCs w:val="14"/>
                <w:color w:val="auto"/>
              </w:rPr>
            </w:pPr>
          </w:p>
        </w:tc>
        <w:tc>
          <w:tcPr>
            <w:tcW w:w="23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Services and President,</w:t>
            </w:r>
          </w:p>
        </w:tc>
        <w:tc>
          <w:tcPr>
            <w:tcW w:w="6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2023. President, Fleet Vehicles and Services since January 2024. President, Specialty Vehicles</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1160" w:type="dxa"/>
            <w:vAlign w:val="bottom"/>
          </w:tcPr>
          <w:p>
            <w:pPr>
              <w:spacing w:after="0"/>
              <w:rPr>
                <w:sz w:val="14"/>
                <w:szCs w:val="14"/>
                <w:color w:val="auto"/>
              </w:rPr>
            </w:pPr>
          </w:p>
        </w:tc>
        <w:tc>
          <w:tcPr>
            <w:tcW w:w="23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Specialty Vehicles</w:t>
            </w:r>
          </w:p>
        </w:tc>
        <w:tc>
          <w:tcPr>
            <w:tcW w:w="6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from July 2023 to January 2024. President and Chief Executive Officer, Trialon Corporation from</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January 2020 to July 2023. Global Vice President &amp; General Manager, Cooper Standard from July 2018</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4"/>
        </w:trPr>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to December 2019 and Managing Director from October 2014 to July 2018.</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46"/>
        </w:trPr>
        <w:tc>
          <w:tcPr>
            <w:tcW w:w="11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Joshua A. Sherbin</w:t>
            </w:r>
          </w:p>
        </w:tc>
        <w:tc>
          <w:tcPr>
            <w:tcW w:w="2320" w:type="dxa"/>
            <w:vAlign w:val="bottom"/>
            <w:gridSpan w:val="3"/>
          </w:tcPr>
          <w:p>
            <w:pPr>
              <w:ind w:left="560"/>
              <w:spacing w:after="0" w:line="146" w:lineRule="exact"/>
              <w:rPr>
                <w:sz w:val="20"/>
                <w:szCs w:val="20"/>
                <w:color w:val="auto"/>
              </w:rPr>
            </w:pPr>
            <w:r>
              <w:rPr>
                <w:rFonts w:ascii="Times New Roman" w:cs="Times New Roman" w:eastAsia="Times New Roman" w:hAnsi="Times New Roman"/>
                <w:sz w:val="14"/>
                <w:szCs w:val="14"/>
                <w:color w:val="auto"/>
              </w:rPr>
              <w:t>Chief Legal Officer, Chief</w:t>
            </w:r>
          </w:p>
        </w:tc>
        <w:tc>
          <w:tcPr>
            <w:tcW w:w="6000" w:type="dxa"/>
            <w:vAlign w:val="bottom"/>
          </w:tcPr>
          <w:p>
            <w:pPr>
              <w:ind w:left="60"/>
              <w:spacing w:after="0" w:line="146" w:lineRule="exact"/>
              <w:rPr>
                <w:sz w:val="20"/>
                <w:szCs w:val="20"/>
                <w:color w:val="auto"/>
              </w:rPr>
            </w:pPr>
            <w:r>
              <w:rPr>
                <w:rFonts w:ascii="Times New Roman" w:cs="Times New Roman" w:eastAsia="Times New Roman" w:hAnsi="Times New Roman"/>
                <w:sz w:val="14"/>
                <w:szCs w:val="14"/>
                <w:color w:val="auto"/>
              </w:rPr>
              <w:t>Chief Administrative Officer since June 2024. Chief Legal Officer, Chief Compliance Officer and</w:t>
            </w:r>
          </w:p>
        </w:tc>
        <w:tc>
          <w:tcPr>
            <w:tcW w:w="50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w w:val="99"/>
              </w:rPr>
              <w:t>61</w:t>
            </w:r>
          </w:p>
        </w:tc>
        <w:tc>
          <w:tcPr>
            <w:tcW w:w="1300" w:type="dxa"/>
            <w:vAlign w:val="bottom"/>
          </w:tcPr>
          <w:p>
            <w:pPr>
              <w:jc w:val="right"/>
              <w:ind w:right="749"/>
              <w:spacing w:after="0" w:line="146" w:lineRule="exact"/>
              <w:rPr>
                <w:sz w:val="20"/>
                <w:szCs w:val="20"/>
                <w:color w:val="auto"/>
              </w:rPr>
            </w:pPr>
            <w:r>
              <w:rPr>
                <w:rFonts w:ascii="Times New Roman" w:cs="Times New Roman" w:eastAsia="Times New Roman" w:hAnsi="Times New Roman"/>
                <w:sz w:val="14"/>
                <w:szCs w:val="14"/>
                <w:color w:val="auto"/>
              </w:rPr>
              <w:t>2021</w:t>
            </w:r>
          </w:p>
        </w:tc>
      </w:tr>
      <w:tr>
        <w:trPr>
          <w:trHeight w:val="170"/>
        </w:trPr>
        <w:tc>
          <w:tcPr>
            <w:tcW w:w="1160" w:type="dxa"/>
            <w:vAlign w:val="bottom"/>
          </w:tcPr>
          <w:p>
            <w:pPr>
              <w:spacing w:after="0"/>
              <w:rPr>
                <w:sz w:val="14"/>
                <w:szCs w:val="14"/>
                <w:color w:val="auto"/>
              </w:rPr>
            </w:pPr>
          </w:p>
        </w:tc>
        <w:tc>
          <w:tcPr>
            <w:tcW w:w="23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Administrative Officer, Chief</w:t>
            </w:r>
          </w:p>
        </w:tc>
        <w:tc>
          <w:tcPr>
            <w:tcW w:w="6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Corporate Secretary since May 2021. Senior Vice President, General Counsel, Chief Compliance</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1160" w:type="dxa"/>
            <w:vAlign w:val="bottom"/>
          </w:tcPr>
          <w:p>
            <w:pPr>
              <w:spacing w:after="0"/>
              <w:rPr>
                <w:sz w:val="14"/>
                <w:szCs w:val="14"/>
                <w:color w:val="auto"/>
              </w:rPr>
            </w:pPr>
          </w:p>
        </w:tc>
        <w:tc>
          <w:tcPr>
            <w:tcW w:w="23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Compliance Officer and</w:t>
            </w:r>
          </w:p>
        </w:tc>
        <w:tc>
          <w:tcPr>
            <w:tcW w:w="6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Officer and Corporate Secretary, TriMas Corporation from March 2016 to May 2021.</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4"/>
        </w:trPr>
        <w:tc>
          <w:tcPr>
            <w:tcW w:w="1160" w:type="dxa"/>
            <w:vAlign w:val="bottom"/>
          </w:tcPr>
          <w:p>
            <w:pPr>
              <w:spacing w:after="0"/>
              <w:rPr>
                <w:sz w:val="16"/>
                <w:szCs w:val="16"/>
                <w:color w:val="auto"/>
              </w:rPr>
            </w:pPr>
          </w:p>
        </w:tc>
        <w:tc>
          <w:tcPr>
            <w:tcW w:w="23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Corporate Secretary</w:t>
            </w:r>
          </w:p>
        </w:tc>
        <w:tc>
          <w:tcPr>
            <w:tcW w:w="6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8"/>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6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financial condition, results of operations and cash flows are subject to various risks, many of which are not exclusively within our control that may cause actual performance to differ materially from historical or projected future performance. The risks described below are the primary risks known to us that we believe could materially affect our business, financial condition, results of operations, or cash flows. However, these risks may not be the only risks we face. Our business could also be affected by additional factors that are not presently known to us, factors we currently consider to be immaterial to our operations, or factors that emerge as new risks in the future. Readers should not interpret the disclosure of any risk factor to imply that the risk has not already materialized.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Global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Uncertain global macro-economic and political conditions could materially adversely affect our business, financial condition, results of operations, or cash flows.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Global and local business conditions include inflation, recession, interest rates, availability of capital, energy and commodity prices, tariffs, trade laws and the effects of governmental initiatives to manage economic conditions. We have experienced, and are continuing to experience, challenges and increases in costs for logistics and in our supply chains, such as increased port congestion, intermittent supplier delays, and volatility in prices of commodities such as base metals and raw materials. Further unfavorable conditions such as a general slowdown of the U.S. economy, uncertainty and volatility in the financial markets, uncertainty or volatility in commodity prices or additional inflationary factors and rising interest rates could result in higher operating costs and expenses for our Company as well as softer demand for our products from customers and could make it more difficult and expensive for us or our customers to obtain financing.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13" w:name="page14"/>
    <w:bookmarkEnd w:id="13"/>
    <w:p>
      <w:pPr>
        <w:jc w:val="both"/>
        <w:spacing w:after="0" w:line="287" w:lineRule="auto"/>
        <w:rPr>
          <w:sz w:val="20"/>
          <w:szCs w:val="20"/>
          <w:color w:val="auto"/>
        </w:rPr>
      </w:pPr>
      <w:r>
        <w:rPr>
          <w:rFonts w:ascii="Times New Roman" w:cs="Times New Roman" w:eastAsia="Times New Roman" w:hAnsi="Times New Roman"/>
          <w:sz w:val="14"/>
          <w:szCs w:val="14"/>
          <w:color w:val="auto"/>
        </w:rPr>
        <w:t>Ongoing military conflicts, such as in the Middle East and Ukraine, for example, could lead to sanctions or other market disruptions, including significant volatility in commodity prices, credit and capital markets, as well as supply chain interruptions for equipment, which could have an adverse impact on our business, financial condition, results of operations, or cash flows.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challenges also impact our suppliers, and we have experienced supply chain disruptions as a result. Our inability to obtain raw materials, chassis and other supplies on a timely basis negatively impacts our ability to fulfill customer orders, which may have a material adverse impact on our results of operations, financial condition, and liquidity.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Company and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Any negative change in our relationship with our major customers could have significant adverse effects on revenues and profits.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financial success is directly related to the willingness of our customers to continue to purchase our products. Failure to fill customers’ orders in a timely manner or on the terms and conditions they may impose could harm our relationships with our customers. The importance of maintaining excellent relationships with our major customers may also give these customers leverage in our negotiations with them, including pricing and other supply terms, as well as post-sale disputes. This leverage may lead to increased costs to us. Furthermore, if any of our major customers experience a significant downturn in their business or fail to remain committed to our products or brands, then these customers may reduce or discontinue purchases from us, which could have an adverse effect on our business, results of operations and financial condition. Sales to our top 10 customers in 2024 accounted for 50.0% percent of our sales in the aggregate. In addition, a key customer owns a significant share of a new entrant competitor, and our business may be adversely affected if the customer’s ownership of or our competitive relationship in the marketplace with our competitor results in a decline or discontinuation of the customer’s purchases from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 able to remain competitive in the rapidly changing markets in which we compete.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markets we serve are undergoing rapid transformation, particularly with respect to parcel delivery services and electric vehicle (“EV”) technologies. Our current and potential competitors include companies that have significantly greater financial, technical, manufacturing, marketing and other resources than we do, including OEMs and certain of our customers, and which are highly motivated by market opportunities to deploy those resources to the design, development, manufacturing, distribution, promotion, sale and support of their products, including their EVs. In addition to these established, mature competitors, we also face competition from new market entrants, including technology companies. As a result of these market opportunities, OEMs and other companies have taken actions to reduce costs, including through in-sourcing and supply base consolidation. We expect these trends to continue and even accelerate. We expect competition for EVs to intensify due to increased demand and a regulatory push for alternative fuel vehicles, continuing globalization, and consolidation in the worldwide vehicle industry. Increased competition may lead to lower vehicle unit sales and increased inventory, which may result in downward price pressure and adversely affect our business, financial condition, operating results, and prospects. Our business will be adversely affected if we are unable to adequately respond to these pressures or otherwise continue to compete in these markets.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Amounts included in order backlog may not result in actual revenue and are an uncertain indicator of our future revenue.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Backlog is generally comprised of agreements and purchase orders from customers that are subject to modification, cancellation, or rescheduling. While realization of revenue related to order backlog has not been a major issue in the past, we cannot assure that we will recognize revenue with respect to each order included in order backlog. Should a cancellation occur, our order backlog and anticipated revenue would be reduced unless we are able to replace the cancelled order. As a result, the order backlog may not be indicative of future sales and can vary significantly from period to period. Reductions in our order backlog could negatively impact our future results of operations.</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evaluate our order backlog at least quarterly to determine if the orders continue to meet our criteria for inclusion in order backlog. We may adjust our reported order backlog to account for any changes, including those arising from continued customer intent and ability to fulfill order, supply base capacity, and changes in our ability, or the methodology used, to determine whether an order is likely to be completed. We cannot assure that our order backlog will result in revenue on a timely basis or at all, or that any cancelled contracts will be replaced.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the order backlog may not be indicative of future sales and can vary significantly from period to period. In addition, it is possible that the methodology for determining the order backlog may not be comparable to methods used by other companies.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The integration of businesses or assets we have acquired or may acquire in the future involves challenges that could disrupt our business and harm our financial condition.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part of our growth strategy, we have pursued and expect we will continue to selectively pursue acquisitions of businesses or assets in order to diversify, expand our capabilities, enter new markets, or increase our market share. Integrating any newly acquired business or assets can be expensive and can require a great deal of management time and other resources. We cannot guarantee that we will be able to identify attractive acquisition targets or assets. If we are unable to successfully integrate the newly acquired businesses with our existing business, we may not realize the synergies we expect from the acquisition and our business and results of operations may be adversely impacted.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Re-configuration or relocation of our production operations could negatively impact our earnings</w:t>
      </w:r>
      <w:r>
        <w:rPr>
          <w:rFonts w:ascii="Times New Roman" w:cs="Times New Roman" w:eastAsia="Times New Roman" w:hAnsi="Times New Roman"/>
          <w:sz w:val="14"/>
          <w:szCs w:val="14"/>
          <w:b w:val="1"/>
          <w:bCs w:val="1"/>
          <w:i w:val="1"/>
          <w:iCs w:val="1"/>
          <w:color w:val="auto"/>
        </w:rPr>
        <w: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from time to time, reconfigure our production lines or relocate production of products between buildings or locations or to new locations to maximize the efficient utilization of our existing production capacity or take advantage of opportunities to increase manufacturing efficiencies. Costs incurred to affect these reconfigurations or relocations may exceed our estimates, and efficiencies gained may be less than anticipated, each of which may have a negative impact on our results of operations and financial position.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Disruptions within our dealer network could adversely affect our business.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rely, for certain of our products, on a network of independent dealers to market, stock, deliver, provide training for, and service our products to and for customers. Our business is influenced by our ability to initiate and manage new and existing relationships with dealers.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we or an individual dealer may choose to terminate the relationship, or the dealership could face financial difficulty leading to failure or difficulty in transitioning to new ownership. In addition, our competitors could engage in a strategy to attempt to acquire or convert our dealers to carry their products. We do not believe our business is dependent on any single dealer, the loss of which would have a sustained material adverse effect upon our business.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However, disruption of dealer coverage within a specific local market could have an adverse impact on our business within the affected market. The loss or termination of a significant number of dealers could cause difficulties in marketing and distributing our products and have an adverse effect on our business, operating results or financial condition. In the event that a dealer in a strategic market experiences financial difficulty, we may choose to provide financial support such as extending credit to a dealership, reducing the risk of disruption, but increasing our financial exposure.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 able to successfully implement and manage our growth strategy.</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growth strategy includes expanding existing market share through product innovation, continued expansion into industrial and global markets and merger or acquisition related activities. We believe our future success depends in part on our research and development and engineering efforts, our ability to manufacture or source the products and customer acceptance of our products. As it relates to new markets, our success also depends on our ability to create and implement local supply chain, sales and distribution strategies to reach these markets.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potential inability to successfully implement and manage our growth strategy could adversely affect our business and our results of operations. The successful implementation of our growth strategy will depend, in part, on our ability to integrate operations with acquired companies.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make investments in new business development initiatives which could have a relatively high failure rate. We limit our investments in these initiatives and establish governance procedures to contain the associated risks, but losses could result and may be material. Our growth strategy also may involve acquisitions, joint venture alliances and additional arrangements of distribution. We may not be able to enter into acquisitions or joint venture arrangements on acceptable terms, and we may not successfully integrate these activities into our operations. We also may not be successful in implementing new distribution channels, and changes could create discord in our existing channels of distribution.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5" w:name="page16"/>
    <w:bookmarkEnd w:id="15"/>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Increased costs, including costs of raw materials, component parts and labor costs, potentially impacted by changes in labor rates and practices, disruptions in supply chains and/or new or increased tariffs or similar restrictions, could reduce our operating income.</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results of operations may be significantly affected by the availability and pricing of manufacturing components and labor, changes in labor rates and practices, and increases in tariffs or similar restrictions on materials we import. Increases in costs of raw materials used in our products could affect the cost of our supply materials and components, as rising steel and aluminum prices as well as increased tariffs have impacted the cost of certain of our manufacturing components. Further, the new Trump Administration has proposed significant changes to the U.S. government’s tariff policy, particular with respect to imports from Canada, China and Mexico. In addition, a growth in popularity of EVs without a significant expansion in battery cell production capacity could result in shortages, which could result in increased materials costs to us and could adversely impact our projected manufacturing and delivery timelines. Although we attempt to mitigate the effect of any escalation in components, labor costs, and tariffs by negotiating with current or new suppliers and by increasing productivity or, where possible, by increasing the sales prices of our products, we cannot be certain that we will be able to do so without it having an adverse impact on the competitiveness of our products and, therefore, our sales volume. If we cannot successfully offset increases in our manufacturing costs, this could have a material adverse impact on our margins, operating income and cash flows. Our profit margins may decrease if prices of purchased component parts, labor rates, and/or tariffs increase, and we are unable to pass on those increases to our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Implementing new information systems could interfere with our business or operations.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in the process of implementing new information systems infrastructure and applications that impact multiple locations. These projects require significant investment of capital and human resources, the re-engineering of many processes of our business, and the attention of many employees and managers who would otherwise be focused on other aspects of our business. Should the systems not be implemented successfully, we may incur impairment charges that could materially impact our financial results. If the systems do not perform in a satisfactory manner once implementation is complete, our business and operations could be disrupted and our results of operations negatively affected, including our ability to report accurate and timely financial results.</w:t>
      </w:r>
    </w:p>
    <w:p>
      <w:pPr>
        <w:spacing w:after="0" w:line="13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EVs rely on software and hardware that is highly technical, and if these systems contain errors, bugs, vulnerabilities, or design defects, or if we are unsuccessful in addressing or mitigating technical limitations in our systems, our EV business could be adversely affected.</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EVs will rely on software and hardware that is highly technical and complex and will require modification and updates over the life of the vehicles. Our software and hardware may contain errors, bugs, vulnerabilities or design defects, and our systems are subject to certain technical limitations that may compromise our ability to meet our objectives. Some errors, bugs, vulnerabilities, or design defects inherently may be difficult to detect and may only be discovered after the product has been released. Although we will attempt to remedy any issues we observe in our vehicles effectively and rapidly, such efforts may not be timely, may hamper production or may not be to the satisfaction of our customers.</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are unable to prevent or effectively remedy errors, bugs, vulnerabilities or defects in our software and hardware, or fail to deploy updates to our software properly, we would suffer damage to our reputation, loss of customers, loss of revenue or liability for damages, any of which could adversely affect our business, prospects, financial condition, results of operations, and cash flows.</w:t>
      </w:r>
    </w:p>
    <w:p>
      <w:pPr>
        <w:spacing w:after="0" w:line="1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There are complex software and technology systems that need to be developed by us and in coordination with vendors and suppliers to reach mass production for our EVs, and there can be no assurance such systems will be successfully developed or integrated.</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EVs and EV operations use a substantial amount of complex third-party and in-house software and hardware. The development and integration of such advanced technologies are inherently complex, and we will need to coordinate with our vendors and suppliers to reach mass production for our EVs. Defects and errors may be revealed over time and our control over the performance of third-party services and systems may be limited. Thus, our potential inability to develop and integrate the necessary software and technology systems may adversely affect our EV business.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6" w:name="page17"/>
    <w:bookmarkEnd w:id="16"/>
    <w:p>
      <w:pPr>
        <w:ind w:right="20"/>
        <w:spacing w:after="0" w:line="260" w:lineRule="auto"/>
        <w:rPr>
          <w:sz w:val="20"/>
          <w:szCs w:val="20"/>
          <w:color w:val="auto"/>
        </w:rPr>
      </w:pPr>
      <w:r>
        <w:rPr>
          <w:rFonts w:ascii="Times New Roman" w:cs="Times New Roman" w:eastAsia="Times New Roman" w:hAnsi="Times New Roman"/>
          <w:sz w:val="14"/>
          <w:szCs w:val="14"/>
          <w:color w:val="auto"/>
        </w:rPr>
        <w:t>We rely on third-party suppliers to develop a number of emerging technologies for use in our EVs, including battery technology and the use of different battery cell chemistries. Certain of these technologies and chemistries are not today, and may not ever be, commercially viable. There can be no assurances that our suppliers will be able to meet the technological requirements, production timing, and volume requirements to support our business plan. Furthermore, if we experience delays by our third-party suppliers (including due to their financial viability or technology), we could experience delays in delivering on our timelines. In addition, the technology may not comply with the cost, performance useful life, and warranty characteristics we anticipate in our business plan. As a result, our business plan could be significantly impacted and we may incur significant liabilities under warranty claims which could materially and adversely affect our business, prospects, financial condition, results of operations, and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EVs make use of lithium-ion battery cells, which, if not appropriately managed and controlled, have been observed to catch fire or vent smoke and flame.</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battery packs within our EVs will make use of lithium-ion cells. If not properly managed or subject to environmental stresses, lithium-ion cells can rapidly release the energy they contain by venting smoke and flames in a manner that can ignite nearby materials as well as other lithium-ion cells. While the battery pack is designed to contain any single cell’s release of energy without spreading to neighboring cells, a field or testing failure of battery packs in our vehicles could occur, which could result in bodily injury or death and could subject us to lawsuits, field actions (including product recalls), or redesign efforts, all of which would be time consuming and expensive and could harm our brand image. Also, negative public perceptions regarding the suitability of lithium-ion cells for automotive applications, the social and environmental impacts of mineral mining or procurement associated with the constituents of lithium-ion cells, or any future incident involving lithium-ion cells, such as a vehicle or other fire, could materially and adversely affect our reputation and business, prospects, financial condition, results of operations, and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Disruption of our supply base could affect our ability to obtain component parts.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increasingly rely on component parts from global sources in order to manufacture our products. Disruption of this supply base due to international political events, natural disasters or adverse weather conditions (including any disasters or weather conditions caused by climate change), or other factors could affect our ability to obtain component parts at acceptable prices, or at all, and have a negative impact on our sales, results of operations and financial position.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When we introduce new products, we may incur expenses that we did not anticipate, such as recall expenses, resulting in reduced earnings.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introduction of new products is critical to our future success. We have additional costs when we introduce new products, such as initial labor or purchasing inefficiencies, but we may also incur unexpected expenses. For example, we may experience unexpected engineering or design issues that will force a recall of a new product or increase production costs of the product above levels needed to ensure profitability. In addition, we may make business decisions that include offering incentives to stimulate the sales of products not adequately accepted by the market, or to stimulate sales of older or less marketable products. The costs resulting from these types of problems could be substantial and have a significant adverse effect on our earnings.</w:t>
      </w:r>
    </w:p>
    <w:p>
      <w:pPr>
        <w:spacing w:after="0" w:line="13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depend on a small group of suppliers for some of our components, and the loss of any of these suppliers could affect our ability to obtain components at competitive prices, which would decrease our sales or earnings.</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Most chassis and specialty vehicle commodity components are readily available from a variety of sources. However, a few proprietary or specialty components are produced by a small group of suppliers.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we generally do not purchase chassis for our delivery vehicles. Rather, we accept shipments of vehicle chassis owned by dealers or end-users for the purpose of installing and/or manufacturing our specialized truck bodies on such chassis. There are four primary sources for commercial chassis, and we have established relationships with all major chassis manufacturers.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Changes in our relationships with these suppliers, shortages, production delays, their ability to secure components required for chassis production or work stoppages by the employees of such suppliers could have a material adverse effect on our ability to timely manufacture our products and secure sales. If we cannot obtain an adequate supply of components or commercial chassis, this could result in a decrease in our sales and earnings.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could be adversely affected by the decision of our employees to unionize.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Currently, none of our U.S. employees are represented by a collective bargaining agreement. If in the future our employees decide to unionize, this would increase our operating costs and potentially force us to alter the way we operate causing an adverse effect on our operating results.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7" w:name="page18"/>
    <w:bookmarkEnd w:id="17"/>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The ability to hire or retain management and other key personnel is critical to our continued success, and the loss of or inability to hire such personnel could have a material adverse effect on our business, financial condition and results of operations.</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sustain and grow our business requires us to hire, retain and develop a highly skilled and diverse management team and workforce. Overall, there is intense competition for qualified and skilled employees. As all key personnel devote their full time to our business, the loss of any member of our management team, or other key persons, or the inability to hire key persons, could have an adverse effect on us. If we lose key members of our senior management team or are unable to effect successful transitions from one executive to another as part of our succession plan, we may not be able to effectively manage our current operations or meet ongoing and future business challenges, and this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associated with international sales and contracts could have a negative effect on our business.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2024, 2023, and 2022, we derived 6.2%, 2.8%, and 0.7% of our revenue from sales to, or related to, end customers outside the United States. We face numerous risks associated with conducting international operations, any of which could negatively affect our financial performance, including changes in foreign country regulatory requirements, the strength of the U.S. dollar compared to foreign currencies, import/export restrictions, the imposition of foreign tariffs and other trade barriers and disruptions in the shipping of exported products.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as a public company, we are subject to the Foreign Corrupt Practices Act, which may place us at a competitive disadvantage to foreign companies that are not subject to similar regulations.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More General Risks Applicable to Our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economic, market, and/or political conditions, whether on a global, national, or more regional scale, could have a negative effect on our business.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Wars, acts of terrorism, armed conflicts, natural disasters (including those caused by climate change), budget shortfalls, cybersecurity incidents, civil unrest, governmental actions, and epidemics have in the past and could in the future create significant uncertainties that may have material and adverse effects on consumer demand, shipping and transportation, the availability of manufacturing components, commodity prices and our ability to engage in overseas markets as tariffs are implemented. An economic recession, whether resulting from one of these events or others, would have a material adverse impact on our financial condition and results of operations.</w:t>
      </w:r>
    </w:p>
    <w:p>
      <w:pPr>
        <w:spacing w:after="0" w:line="13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If there is a rise in the frequency and size of product liability, warranty and other claims against us, including wrongful death claims, our business, results of operations and financial condition may be harmed.</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frequently subject, in the ordinary course of business, to litigation involving product liability and other claims, including wrongful death claims, related to personal injury and warranties. We insure our product liability claims in the commercial insurance market. We cannot be certain that our insurance coverage will be sufficient to cover all future claims against us. Any increase in the frequency and size of these claims, as compared to our experience in prior years, may cause the premiums that we are required to pay for such insurance to rise significantly. It may also increase the amounts we pay in punitive damages, which may not be covered by our insurance. In addition, a major product recall or increased levels of warranty claims could have a material adverse effect on our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to laws and regulations governing our business could have a material impact on our operations.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manufactured products and the industries in which we operate are subject to extensive federal and state regulations. Changes to any of these regulations or the implementation of new regulations could significantly increase the costs of manufacturing, purchasing, operating or selling our products, managing our data and systems, and could have a material adverse effect on our results of operations. Our failure to comply with present or future regulations could result in fines, potential civil and criminal liability, suspension of sales or production, or cessation of operations.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U.S. tax laws currently afford favorable tax treatment for financing the purchase of recreational vehicles that are used as the equivalent of second homes. These laws and regulations have historically been amended frequently, and it is likely that further amendments and additional regulations will be applicable to us and our products in the future. Amendments to these laws and regulations and the implementation of new regulations could have a material adverse effect on our results of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8" w:name="page19"/>
    <w:bookmarkEnd w:id="18"/>
    <w:p>
      <w:pPr>
        <w:jc w:val="both"/>
        <w:spacing w:after="0" w:line="264" w:lineRule="auto"/>
        <w:rPr>
          <w:sz w:val="20"/>
          <w:szCs w:val="20"/>
          <w:color w:val="auto"/>
        </w:rPr>
      </w:pPr>
      <w:r>
        <w:rPr>
          <w:rFonts w:ascii="Times New Roman" w:cs="Times New Roman" w:eastAsia="Times New Roman" w:hAnsi="Times New Roman"/>
          <w:sz w:val="14"/>
          <w:szCs w:val="14"/>
          <w:color w:val="auto"/>
        </w:rPr>
        <w:t>Our operations are subject to a variety of federal and state environmental regulations relating to noise pollution and the use, generation, storage, treatment, emission and disposal of hazardous materials and wastes. Our failure to comply with present or future regulations could result in fines, potential civil and criminal liability, suspension of production or operations, alterations to the manufacturing process, costly cleanup or capital expenditures. Climate change regulations at the federal, state or local level could require us to change our manufacturing processes or product portfolio or undertake other activities that may require us to incur additional expense, which may be material.</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vehicles are subject to motor vehicle safety standards, and the failure to satisfy such mandated safety standards could have a material adverse effect on our business, financial condition, results of operations, and cash flows.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All vehicles sold must comply with international, federal, and state motor vehicle safety standards. In the United States, vehicles that meet or exceed all federally mandated safety standards are self-certified by the manufacturer under the federal regulations. Rigorous testing and the use of approved materials and equipment are among the requirements for achieving federal certification. Other jurisdictions outside the United States require us to meet Type Approval requirements proving to regulators that our vehicles meet those relevant safety standards in effect in those countries. Failure by us to maintain compliance of our current vehicles or obtain certification of compliance for any future vehicle, including future EV models, with motor vehicle safety standards in the United States, Canada or other jurisdictions could have a material adverse effect on our business, prospects, financial condition, results of operations, and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operating results may fluctuate significantly on a quarter-to-quarter basis.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quarterly operating results depend on a variety of factors including the timing and volume of orders, the completion of product inspections and acceptance by our customers, and various restructuring initiatives that may be undertaken from time to time. As an example, our Fleet Vehicles and Services segment experiences seasonality whereby product shipments in the first and fourth quarters are generally lower than other quarters as a result of the busy holiday delivery operations experienced by some of its largest customers. Accordingly, our financial results may be subject to significant and/or unanticipated quarter-to-quarter fluctuations.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businesses are cyclical, and this can lead to fluctuations in our operating results.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industries in which we operate are highly cyclical and there can be substantial fluctuations in our manufacturing, shipments and operating results, and the results for any prior period may not be indicative of results for any future period. Companies within these industries are subject to volatility in operating results due to external factors such as economic, demographic and political changes. Factors affecting the manufacture of chassis, specialty vehicles, delivery vehicles and other of our products include but are not limited to:</w:t>
      </w:r>
    </w:p>
    <w:p>
      <w:pPr>
        <w:spacing w:after="0" w:line="136" w:lineRule="exact"/>
        <w:rPr>
          <w:sz w:val="20"/>
          <w:szCs w:val="20"/>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prices;</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Fuel availability and prices.</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Unemployment trends;</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tensions and hostilities;</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tax incentives;</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 of the U.S. dollar compared to foreign currencies;</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consumer confidence and the level of discretionary consumer spending;</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and manufacturers’ inventory levels; and</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and the availability of financing.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legal and other factors could impact our customers’ ability to pay accounts receivable balances due from them.</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ordinary course of business, customers are granted terms related to the sale of goods and services delivered to them. These terms typically include a period between when the goods and services are tendered for delivery to the customer and when the customer needs to pay for these goods and services. The amounts due under these payment terms are listed as accounts receivable on our balance sheet. Prior to collection of these accounts receivable, our customers could encounter drops in sales, unexpected increases in expenses, or other factors which could impact their ability to continue as a going concern and which could affect the collectability of these amounts. Writing off uncollectible accounts receivable could have a material adverse effect on our earnings and cash flow as we have major customers with material accounts receivable balances at any given time.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Our business operations could be disrupted if our information technology systems fail to perform adequately or experience a cybersecurity incident.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rely on our information technology systems and those of third-party business partners to effectively manage our business data, communications, supply chain, product engineering, manufacturing, accounting and other business processes. Increased cybersecurity threats, computer crime and cyberterrorism pose a risk to the security of our systems and networks, and those of our third-party business partners, and the confidentiality, availability and integrity of our data. Cybersecurity incidents and similar attacks vary in their form and can include the deployment of harmful malware or ransomware, denial-of-services attacks, employee or personnel failures, fraud, phishing or other social engineering attempts or other methods to cause confidential information, payments, account access or access credentials, or other data to be transmitted to an unintended recipient. Cybersecurity threat actors also may attempt to exploit vulnerabilities through software including that is software commonly used by companies in cloud-based services and bundled software. Depending on their nature and scope, such threats could potentially lead to the compromising of confidential information, including but not limited to confidential information relating to customer or employee data, improper use of our systems and networks, manipulation and destruction of data, and operational disruptions. A cybersecurity incident or failure or disruption relating to our information or systems, or that of our third-party business partners, or any failure by us or our third-party business partners to effectively address, enforce and maintain our information technology infrastructure and cybersecurity measures may result in substantial harm to our business strategy, results of operations and financial condition, including major disruptions to business operations, loss of intellectual property, release of confidential information, alteration or corruption of data or systems, costs related to remediation or the payment of ransom, and litigation, civil or criminal investigations or actions, regulatory intervention and sanctions or fines, investigation and remediation costs and possible prolonged negative publicity.</w:t>
      </w:r>
    </w:p>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third-party providers of data hosting or cloud services, as well as our suppliers, may experience cybersecurity incidents that may involve data we share with them. There can be no assurance that cybersecurity incidents, whether with respect to us or such third-party providers, will not have a material adverse effect on us in the future. In order to mitigate risks to our information systems, we continue to make investments in personnel, technologies and training of personnel. Although we maintain a cyber insurance policy, there is no guarantee that such coverage will be sufficient to address costs, liabilities and damages we may incur in connection with a cybersecurity incident or that such coverage will continue to be available on commercially reasonable terms or at all.</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Fuel shortages, or higher prices for fuel, could have a negative effect on sales.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Gasoline or diesel fuel is required for the operation of the specialty vehicles we manufacture. There can be no assurance that the supply of these petroleum products will continue uninterrupted, that rationing will not be imposed or that the price of or tax on these petroleum products will not significantly increase in the future. Increases in gasoline and diesel prices and speculation about potential fuel shortages have had an unfavorable effect on consumer demand for motorhome from time to time in the past and may continue to do so in the future. This, in turn, may have a material adverse effect on our sales volume. Increases in the price of oil also can result in significant increases in the price of many of the components in our products, which may have an adverse impact on margins or sales volumes.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could incur asset impairment charges for goodwill, intangible assets or other long-lived assets.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We have a significant amount of goodwill, intangible assets and other long-lived assets. At least annually, we review goodwill and non-amortizing intangible assets for impairment. Identifiable intangible assets, goodwill and other long-lived assets are also reviewed for impairment whenever events or changes in circumstances indicate the carrying amount of an asset may not be recoverable from future cash flows. If the operating performance at one or more of our reporting units fails to meet future forecasts, or if future cash flow estimates decline, we could be required, under current U.S. accounting rules, to record impairment charges for our goodwill, intangible assets or other long-lived assets. Any write-off of a material portion of such assets could negatively affect our results of operations or financial position. See “Note 5 </w:t>
      </w:r>
      <w:r>
        <w:rPr>
          <w:rFonts w:ascii="Times New Roman" w:cs="Times New Roman" w:eastAsia="Times New Roman" w:hAnsi="Times New Roman"/>
          <w:sz w:val="14"/>
          <w:szCs w:val="14"/>
          <w:i w:val="1"/>
          <w:iCs w:val="1"/>
          <w:color w:val="auto"/>
        </w:rPr>
        <w:t>– Goodwill and Intangible Assets</w:t>
      </w:r>
      <w:r>
        <w:rPr>
          <w:rFonts w:ascii="Times New Roman" w:cs="Times New Roman" w:eastAsia="Times New Roman" w:hAnsi="Times New Roman"/>
          <w:sz w:val="14"/>
          <w:szCs w:val="14"/>
          <w:color w:val="auto"/>
        </w:rPr>
        <w:t>” of the Notes to Consolidated Financial Statements appearing in Item 8 of this Form 10-K for further discussion of goodwill, intangibles and other long-lived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be unable to adequately protect our intellectual property.</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While we believe that our patents, trademarks, know-how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0" w:name="page21"/>
    <w:bookmarkEnd w:id="20"/>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The unavailability, reduction, elimination or adverse application of government incentives could have an adverse effect on our business, prospects, financial condition and operating results.</w:t>
      </w:r>
    </w:p>
    <w:p>
      <w:pPr>
        <w:spacing w:after="0" w:line="3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growth of our EV business depends in part on the availability and amounts of government incentives. Any reduction, elimination or discriminatory application of government incentives because of budgetary challenges, policy changes, the reduced need for such incentives due to the perceived success of EVs or other reasons may result in the diminished price competitiveness of the alternative fuel vehicle industry, which could have an adverse effect on our business, prospects, financial condition and operating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Expectations relating to environmental, social and governance considerations expose us to potential liabilities, increased costs, reputational harm and other adverse effects on our business.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Many governments, regulators, investors, employees, customers and other stakeholders are increasingly focused on environmental, social and governance (“ESG”) considerations relating to businesses, including climate change and greenhouse gas emissions, human capital and diversity, equity and inclusion. We make statements about our ESG goals and initiatives through information provided on our website, press statements and other communications, including through our Sustainability Report. Responding to these ESG considerations and implementation of these goals and initiatives involves risks and uncertainties, including those described under “Forward-Looking Statements,” requires investments and are impacted by factors that may be outside of our control. In addition, some stakeholders may disagree with our goals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goals,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Emerging issues related to the development and use of artificial intelligence (“AI”) could give rise to legal or regulatory action, damage our reputation or otherwise materially harm of our business.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development and use of AI technology in our products and operations remains in the early phases. While we aim to develop and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Moreover, AI technology is subject to rapidly evolving domestic and international laws and regulations, which could impose significant costs and obligations on the company. For example, in 2023 the EU introduced the AI Act to establish rules for providers and users. Emerging regulations may pertain to data privacy, data protection, and the ethical use of AI, as well as clarifying intellectual property considerations. Our use of AI could give rise to legal or regulatory action, increased scrutiny or liability, damage our reputation or otherwise materially harm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the Merger</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The completion of the Merger is subject to certain closing conditions, including regulatory and stockholder approvals as well as other uncertainties, and there can be no assurances as to whether and when they may be completed.</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16, 2024, we entered into the Merger Agreement, pursuant to which, on the terms and subject to the conditions set forth in the Merger Agreement, Merger Sub will merge with and into the Company, with the Company surviving the Merger as a direct, wholly owned subsidiary of Holdco and as an indirect, wholly owned subsidiary of Aebi Schmidt.</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respective obligations of the Company and Aebi Schmidt to consummate the Closing are subject to the satisfaction or waiver of a number of conditions including, among other things: (1) the affirmative vote of the holders of a majority of the outstanding shares of our common stock, (2) the approval by a two-thirds majority of the shares of Aebi Schmidt Common Stock represented at an extraordinary meeting of the shareholders of Aebi Schmidt of the Transactions and debt financing, (3) the expiration or termination of any waiting periods (or any extension thereof) applicable to the consummation of the Merger under the HSR Act, (4) the receipt of certain required regulatory consents, approvals, non-disapprovals and other authorizations under certain applicable antitrust and foreign direct investment laws and regulations specified in the Merger Agreement, (5) the absence of any decision, injunction, decree, ruling, law or order issued by a governmental authority of competent jurisdiction that is in effect and enjoins or otherwise prohibits or makes illegal the consummation of the Transactions, (6) approval for listing on the Nasdaq Global Select Market of all shares of Aebi Schmidt Common Stock to be issued as part of the Merger consideration, (7) a registration statement on Form S-4 registering the shares of Aebi Schmidt Common Stock issuable as part of the Merger consideration in connection with the Transactions will have been declared effective by the SEC, and (8) the confirmation of a Swiss tax ruling (in all material aspects and without material reservations by the Swiss Federal Tax Administration.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1" w:name="page22"/>
    <w:bookmarkEnd w:id="21"/>
    <w:p>
      <w:pPr>
        <w:spacing w:after="0" w:line="287" w:lineRule="auto"/>
        <w:rPr>
          <w:sz w:val="20"/>
          <w:szCs w:val="20"/>
          <w:color w:val="auto"/>
        </w:rPr>
      </w:pPr>
      <w:r>
        <w:rPr>
          <w:rFonts w:ascii="Times New Roman" w:cs="Times New Roman" w:eastAsia="Times New Roman" w:hAnsi="Times New Roman"/>
          <w:sz w:val="14"/>
          <w:szCs w:val="14"/>
          <w:color w:val="auto"/>
        </w:rPr>
        <w:t>If these conditions are not satisfied (or waived, if applicable) by certain dates specified in the Merger Agreement, either the Company or Aebi Schmidt will have a right to terminate the Merger Agreement in certain circumstances.</w:t>
      </w:r>
    </w:p>
    <w:p>
      <w:pPr>
        <w:spacing w:after="0" w:line="1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governmental authorities from which regulatory consents, approvals, non-disapprovals and other authorizations under applicable antitrust and foreign direct investment laws and regulations, including the HSR Act, are required have broad discretion in administering the governing laws and regulations, and may take into account various facts and circumstances in their consideration of the Merger, including other potential transactions in our industry or other industries. These governmental authorities may initiate proceedings seeking to prevent, or otherwise seek to prevent, the Merger. As a condition to authorization of the Merger or related transactions, these governmental authorities also may seek to impose requirements, limitations or costs, require divestitures or place restrictions on the conduct of our and Aebi Schmidt’s business after completion of the Merger.</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can provide no assurance that all required consents and approvals will be obtained or that all closing conditions will otherwise be satisfied (or waived, if applicable) in a timely manner or at all. Furthermore, if all required consents and approvals are obtained and all closing conditions are timely satisfied (or waived, if applicable), we can provide no assurance as to the terms, conditions and timing of such consents and approvals or the timing of the completion of the Merger. Many of the closing conditions are outside of either our or Aebi Schmidt’s control, and neither company can predict when or if these conditions will be satisfied (or waived, if applicable). Any delay in completing the Merger could cause the Company to not to realize some or all of the benefits that we expect to achieve if the Merger is successfully completed within its expected timeframe.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Failure to complete the Merger could negatively impact our business, results of operations, financial condition and the price of our common stock.</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the Merger is not completed for any reason, including as a result of our stockholders failing to adopt the Merger Agreement or Aebi Schmidt shareholders failing to approve the Transactions, we will remain an independent public company. Our ongoing business may be materially and adversely affected and we would be subject to a number of risks, including the following:</w:t>
      </w:r>
    </w:p>
    <w:p>
      <w:pPr>
        <w:spacing w:after="0" w:line="125" w:lineRule="exact"/>
        <w:rPr>
          <w:sz w:val="20"/>
          <w:szCs w:val="20"/>
          <w:color w:val="auto"/>
        </w:rPr>
      </w:pPr>
    </w:p>
    <w:p>
      <w:pPr>
        <w:ind w:left="260"/>
        <w:spacing w:after="0" w:line="287" w:lineRule="auto"/>
        <w:tabs>
          <w:tab w:leader="none" w:pos="35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current market price of our common stock reflects an assumption that the Merger will be completed, the price of our common stock could decrease if the Merger is not completed;</w:t>
      </w:r>
    </w:p>
    <w:p>
      <w:pPr>
        <w:spacing w:after="0" w:line="124" w:lineRule="exact"/>
        <w:rPr>
          <w:rFonts w:ascii="Times New Roman" w:cs="Times New Roman" w:eastAsia="Times New Roman" w:hAnsi="Times New Roman"/>
          <w:sz w:val="14"/>
          <w:szCs w:val="14"/>
          <w:color w:val="auto"/>
        </w:rPr>
      </w:pPr>
    </w:p>
    <w:p>
      <w:pPr>
        <w:jc w:val="both"/>
        <w:ind w:left="260"/>
        <w:spacing w:after="0" w:line="270" w:lineRule="auto"/>
        <w:tabs>
          <w:tab w:leader="none" w:pos="3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if terminated pursuant to our entry into an alternative definitive agreement in connection with a superior proposal, if the Merger Agreement is terminated and the Board of Directors seeks another business combination, our shareholders cannot be certain that we will be able to find a party willing to enter into a transaction on terms equivalent to or more attractive than the terms that Aebi Schmidt has agreed to in the Merger Agreement;</w:t>
      </w:r>
    </w:p>
    <w:p>
      <w:pPr>
        <w:spacing w:after="0" w:line="136" w:lineRule="exact"/>
        <w:rPr>
          <w:rFonts w:ascii="Times New Roman" w:cs="Times New Roman" w:eastAsia="Times New Roman" w:hAnsi="Times New Roman"/>
          <w:sz w:val="14"/>
          <w:szCs w:val="14"/>
          <w:color w:val="auto"/>
        </w:rPr>
      </w:pPr>
    </w:p>
    <w:p>
      <w:pPr>
        <w:ind w:left="260"/>
        <w:spacing w:after="0" w:line="287" w:lineRule="auto"/>
        <w:tabs>
          <w:tab w:leader="none" w:pos="35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matters relating to the Merger (including integration planning) will require substantial commitments of time and resources by our management and the expenditure of significant funds in the form of fees and expenses, which would otherwise have been devoted to day-to-day operations and other opportunities that may have been beneficial to us as an independent company;</w:t>
      </w:r>
    </w:p>
    <w:p>
      <w:pPr>
        <w:spacing w:after="0" w:line="124" w:lineRule="exact"/>
        <w:rPr>
          <w:rFonts w:ascii="Times New Roman" w:cs="Times New Roman" w:eastAsia="Times New Roman" w:hAnsi="Times New Roman"/>
          <w:sz w:val="14"/>
          <w:szCs w:val="14"/>
          <w:color w:val="auto"/>
        </w:rPr>
      </w:pPr>
    </w:p>
    <w:p>
      <w:pPr>
        <w:jc w:val="both"/>
        <w:ind w:left="260"/>
        <w:spacing w:after="0" w:line="270" w:lineRule="auto"/>
        <w:tabs>
          <w:tab w:leader="none" w:pos="35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could decline, shareholder litigation, or litigation related to any failure to complete the Merger or related to any enforcement proceeding commenced against us to perform our obligations under the Merger Agreement, could be brought against us, relationships with existing and prospective customers, service providers, investors, lenders and other business partners may be adversely impacted, we may be unable to retain key personnel, and profitability may be adversely impacted due to costs incurred in connection with the pending Merger;</w:t>
      </w:r>
    </w:p>
    <w:p>
      <w:pPr>
        <w:spacing w:after="0" w:line="136" w:lineRule="exact"/>
        <w:rPr>
          <w:rFonts w:ascii="Times New Roman" w:cs="Times New Roman" w:eastAsia="Times New Roman" w:hAnsi="Times New Roman"/>
          <w:sz w:val="14"/>
          <w:szCs w:val="14"/>
          <w:color w:val="auto"/>
        </w:rPr>
      </w:pPr>
    </w:p>
    <w:p>
      <w:pPr>
        <w:jc w:val="both"/>
        <w:ind w:left="260"/>
        <w:spacing w:after="0" w:line="270" w:lineRule="auto"/>
        <w:tabs>
          <w:tab w:leader="none" w:pos="3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places certain restrictions on the conduct of our business prior to Closing, and such restrictions, the waiver of which is subject to the consent of Aebi Schmidt, may prevent us from making certain acquisitions, entering into or amending certain contracts, taking certain other specified actions or otherwise pursuing business opportunities during the pendency of the Merger that we would have made, taken or pursued if these restrictions were not in place; and</w:t>
      </w:r>
    </w:p>
    <w:p>
      <w:pPr>
        <w:spacing w:after="0" w:line="136" w:lineRule="exact"/>
        <w:rPr>
          <w:rFonts w:ascii="Times New Roman" w:cs="Times New Roman" w:eastAsia="Times New Roman" w:hAnsi="Times New Roman"/>
          <w:sz w:val="14"/>
          <w:szCs w:val="14"/>
          <w:color w:val="auto"/>
        </w:rPr>
      </w:pPr>
    </w:p>
    <w:p>
      <w:pPr>
        <w:jc w:val="both"/>
        <w:ind w:left="260"/>
        <w:spacing w:after="0" w:line="264" w:lineRule="auto"/>
        <w:tabs>
          <w:tab w:leader="none" w:pos="35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obligated to pay a termination fee of approximately $13.7 million in cash to Aebi Schmidt if the Merger Agreement is terminated (a) by the Company, prior to receiving Shyft stockholder approval, in order to enter into a definitive agreement with respect to a superior proposal, (b) by Aebi Schmidt if the Board of Directors effects an adverse recommendation change at any time prior to the receipt of Shyft shareholder approval, and (c) by either Aebi Schmidt or the Company as a result of the failure to obtain Shyft shareholder approval at a time when Aebi Schmidt is permitted to terminate the Merger Agreement as a result of the Board of Directors effecting an adverse recommendation change.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2" w:name="page23"/>
    <w:bookmarkEnd w:id="22"/>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Combining the Company and Aebi Schmidt may be more difficult, costly or time consuming than expected and the combined company may fail to realize the anticipated benefits of the Merger.</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success of the Merger will depend, in part, on the ability to realize the anticipated synergies, operating efficiencies, and cost savings from combining the businesses of Aebi Schmidt and the Company. To realize the anticipated benefits and cost savings from the Merger, Aebi Schmidt and the Company must integrate and combine their businesses in a manner that permits those cost savings to be realized, without adversely affecting current revenues and future growth. If Aebi Schmidt and the Company are not able to successfully achieve these objectives, the anticipated benefits of the Merger may not be realized fully or at all or may take longer to realize than expected. In addition, the actual cost savings of the Merger could be less than anticipated, the costs associated with effecting the Merger may be more than anticipated, and integration may result in additional and unforeseen expenses.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 inability to realize the full extent of the anticipated benefits of the Merger and the other Transactions, as well as any delays encountered in the integration process, could have an adverse effect upon the revenues, levels of expenses and operating results and financial condition of the combined company, which may adversely affect the value of the common stock of the combined company after the completion of the Merger.</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since the Merger consideration payable to our shareholders will consist entirely of Aebi Schmidt Common Stock, our share price may be adversely impacted by any adverse developments in Aebi Schmidt’s business outlook. Also, the number of shares of Aebi Schmidt Common Stock issuable in connection with the Merger Agreement in respect to one share of our common stock is based on an exchange ratio that is subject to adjustments in the case of reclassifications, recapitalization, stock splits or other actions, but not for changes in the market value of our common stock. As a result, the Company’s shareholders cannot be sure of the value of the Merger Consideration that they will receive in the Merger.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will be subject to certain operating restrictions until consummation of the Merger and business uncertainties until and following the consummation of the Merger.</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Uncertainty about the effect of the Merger on employees and customers may have an adverse effect on us. These uncertainties could disrupt our business and cause customers, suppliers, vendors, partners, employees and others that deal with us to defer entering into contracts with us, defer making other decisions concerning us or seek to change, terminate, or cancel existing business relationships with us. Retention and motivation of certain employees may be challenging during the pendency of the Merger due to uncertainty about their future roles and difficulty of integration. If key employees depart because of issues related to the uncertainty and difficulty of integration or a desire not to remain with the combined company, our business and operations could be negatively impacted. If any of these effects were to occur, it could materially and adversely impact our operating results, financial position and/or cash flows and/or our stock price.</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Merger Agreement also includes restrictions on the conduct of our business until the earlier of the Closing or termination of the Merger Agreement. For example, unless we obtain Aebi Schmidt’s prior written consent (which consent may not be unreasonably withheld, conditioned or delayed), we may not, subject to certain exceptions and aggregate limitations, incur additional indebtedness, issue additional shares of our common stock outside of our equity incentive plans, repurchase our common stock, pay dividends, acquire assets, securities or property, dispose of businesses or assets, enter into material contracts or make certain additional capital expenditures. We may find that these and other contractual restrictions in the Merger Agreement may negatively affect our business and operations or delay or prevent us from responding, or limit our ability to respond, effectively to competitive pressures, industry developments and future business opportunities that may arise during such period, even if our management believes they may be advisable.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The Merger Agreement contains restrictions on our ability to pursue alternatives to the Merger.</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Merger Agreement contains customary “no-shop” provisions that, subject to limited exceptions, restrict the Company and its subsidiaries’ ability to, directly or indirectly, (i) solicit, initiate or take any action to knowingly facilitate or knowingly encourage or induce the submission of any proposals or offers that constitute or could reasonably be expected to lead to any alternative acquisition proposal, (ii) continue, conduct, engage, enter into or participate in any discussions or negotiations with, furnish any information relating to the Company or any of our subsidiaries or afford access to the business, officers, directors, employees, properties, assets, books or records of the Company or any of our subsidiaries to, or otherwise cooperate in any way with, any third party (or its potential source of financing) that Shyft knows, or would reasonably be expected to know, is actively evaluating, seeking to make, or has made, an alternative acquisition proposal to the Company, (iii) amend or grant any waiver or release under any standstill or similar agreement with respect to any class of equity securities of the Company or any of its subsidiaries, or (iv) approve, authorize, agree or publicly announce any intention to do any of the foregoing.</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Further, subject to limited exceptions and consistent with applicable law, the Merger Agreement provides that the Board of Directors may not fail to make, withdraw or qualify, amend or modify, in each case, in a manner adverse to Aebi Schmidt, its recommendation that our shareholders vote in favor of the adoption of the Merger Agreement and the Transactions.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“no-shop” restrictions on the Company are subject to a customary “fiduciary out” provision, pursuant to which the Company may furnish information to, or engage in discussions or negotiations with, a third party in response to a bona fide alternative acquisition proposal from such third party, if the Board of Directors (a) determines in good faith (after consultation with the Company’s financial advisor and outside legal counsel) that such proposal either constitutes a Shyft Superior Proposal or would reasonably be expected to result in a Shyft Superior Proposal, and (b) determines in good faith (after consultation with the Company’s outside legal counsel) that the failure to take such actions would reasonably be expected to be inconsistent with the Board of Director’s fiduciary duties under applicable law.</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Subject to certain conditions and exceptions, the Board of Directors may also effect an adverse recommendation change in response to a Shyft Intervening Event (as defined in the Merger Agreement) if the Board of Directors determines in good faith (after consultation with the Company’s outside legal counsel) that the failure to take such action would reasonably be expected to be inconsistent with the Board of Director’s fiduciary duties under applicable law, subject to the Company’s compliance with certain specified notice requirements and other conditions set forth in the Merger Agreement (including, under certain circumstances and if requested by Aebi Schmidt, the obligation to negotiate in good faith with Aebi Schmidt regarding revisions, if any, to the Merger Agreement proposed by Aebi Schmidt). However, doing so in specified situations could require us to pay to Aebi Schmidt a termination fee of approximately $13.7 million.</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Such provisions could discourage a potential acquiror that might have an interest in making a proposal from considering or proposing any such transaction. Additionally, if the Merger Agreement is terminated and we determine to seek another business combination, we may not be able to negotiate a transaction with another party on terms comparable to, or better than, the terms of the Merger Agreement. There also is a risk that the requirement to pay the termination fee or expense payment to Aebi Schmidt in certain circumstances may result in a potential acquiror proposing to pay a lower per share price to acquire us than it might otherwise have proposed to pay.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Completion of the Merger may require consents or trigger change in control or other provisions in certain agreements to which we are a party.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completion of the Merger may require consents or trigger change in control or other provisions in certain agreements to which we are a party. If we are unable to obtain consents or negotiate waivers of those provisions, the Company’s counterparties may exercise their rights and remedies under the agreements, potentially terminating the agreements, discontinuing business relationships or seeking monetary damages. Even if we are able to obtain consent or negotiate waivers, the counterparties may require a fee for such waivers or seek to renegotiate the agreements on terms less favorable to us. Such action could cause the combined company to lose business, increase the cost of doing business and/or lower profitability or have other adverse financial impacts.</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can provide no assurance that all required consents will be obtained (or waived, if applicable) in a timely manner or at all, and, if all required consents are obtained, and all other closing conditions are timely satisfied (or waived, if applicable), we can provide no assurance as to the terms, conditions and timing of such consents or the timing of the completion of the Merger. Many of the conditions to completion of the Merger are not within our control, and we cannot predict when or if these conditions will be satisfied (or waived, if applicable). Any delay in completing the Merger could cause us not to realize some or all of the benefits that we expect to achieve if the Merger is successfully completed within its expected timeframe.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4" w:name="page25"/>
    <w:bookmarkEnd w:id="24"/>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Uncertainty during pendency of the Merger may cause suppliers, customers or other business partners to delay or defer decisions concerning us or re-negotiate agreements with us, and consummation of the Merger could cause suppliers, customers and other business partners to terminate or re-negotiate their relationships with the combined company.</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pendency of the Merger, it is possible that some customers, distributors, suppliers, and other collaboration and strategic partners with whom we have business relationships may delay or defer certain business decisions or might decide to seek to terminate, change or renegotiate their relationships us as a result of the Merger or otherwise. Such changes could negatively impact our revenues or cash flows or the market price of our common stock, regardless of whether the Merger is consummated.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have difficulty attracting, motivating and retaining executives and other key employees in light of the Merger.</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Uncertainty about the effect of the Merger on our employees may have an adverse effect on our business. This uncertainty may impair our ability to attract, retain and motivate key employees. Employee retention may be particularly challenging during the pendency of the Merger, as our employees may experience uncertainty about their future roles in the combined business. No assurance can be given that we will be able to attract or retain key employees to the same extent that we have been able to attract or retain employees in the past.</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Litigation that may be filed against the Company, Aebi Schmidt, Holdco., Merger Sub and/or the members of the Board of Directors could prevent or delay the consummation of the Merger or result in the payment of damages following completion of the Merger.</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Merger, third parties may file lawsuits against the Company, Aebi Schmidt, Holdco, Merger Sub and/or the members of the Board of Directors. The outcome of any such litigation would be uncertain.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One of the conditions to Closing is the absence of any injunction or other order being in effect that prohibits completion of the Merger. Accordingly, if a dismissal is not granted or a settlement is not reached, any such lawsuits could prevent or delay completion of the Merger. Such lawsuits may also result in substantial costs to the Company, Aebi Schmidt or the combined company following the Merger. The defense or settlement of any lawsuit or claim that remains unresolved at the time the Merger is completed may adversely affect the combined company’s business, financial condition, results of operations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Applicable to Our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stock price has been and may continue to be volatile, which may result in losses to our shareholders.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market price of our common stock has been and may continue to be subject to wide fluctuations in response to, among other things, quarterly fluctuations in operating results, a failure to meet published estimates of or changes in earnings estimates by securities analysts, sales of common stock by existing stockholders, loss of key personnel, market conditions in our industries, shortages of key product inventory components and general economic conditions.</w:t>
      </w:r>
    </w:p>
    <w:p>
      <w:pPr>
        <w:spacing w:after="0" w:line="13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u w:val="single" w:color="auto"/>
          <w:color w:val="auto"/>
        </w:rPr>
        <w:t>Unresolved Staff Comments</w:t>
      </w:r>
      <w:r>
        <w:rPr>
          <w:rFonts w:ascii="Times New Roman" w:cs="Times New Roman" w:eastAsia="Times New Roman" w:hAnsi="Times New Roman"/>
          <w:sz w:val="14"/>
          <w:szCs w:val="14"/>
          <w:b w:val="1"/>
          <w:b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5" w:name="page26"/>
    <w:bookmarkEnd w:id="25"/>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3"/>
          <w:szCs w:val="13"/>
          <w:b w:val="1"/>
          <w:bCs w:val="1"/>
          <w:u w:val="single" w:color="auto"/>
          <w:color w:val="auto"/>
        </w:rPr>
        <w:t>Cybersecurity</w:t>
      </w:r>
      <w:r>
        <w:rPr>
          <w:rFonts w:ascii="Times New Roman" w:cs="Times New Roman" w:eastAsia="Times New Roman" w:hAnsi="Times New Roman"/>
          <w:sz w:val="13"/>
          <w:szCs w:val="13"/>
          <w:b w:val="1"/>
          <w:bCs w:val="1"/>
          <w:color w:val="auto"/>
        </w:rPr>
        <w:t>.</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rely on information technology systems across our operations, including for management, supply chain and financial information and various other processes and transactions. Our ability to effectively manage our business depends on the security, reliability and capacity of these systems. We have established a range of security measures that are designed to protect against the unauthorized access to and misappropriation of our information, corruption of data, intentional or unintentional disclosure of confidential information, or disruption of operations. We have implemented additional controls, security processes and monitoring of our manufacturing systems. We have also implemented additional cloud security tools and governance processes for assessing, identifying and managing material risks from cybersecurity threats. In addition, we maintain an information security training program that encompasses the following areas: phishing and email security, password security, data handling security, cloud security, operational technology security processes, and cyber-incident response and reporting processes.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oversight of our cybersecurity risk management process is integrated into our overall risk management process. Through our enterprise risk management process, which involves a broad cross-functional group across many areas of expertise and is structurally independent of our business lines, we identify and assess risk and risk-mitigation actions, including with respect to cybersecurity risks. Our Chief Information Officer ("CIO") provides oversight of our cybersecurity risk, which is addressed by a group of stakeholders that includes our information technology (“IT”) and cybersecurity leadership and IT leaders within our various facilities, with cybersecurity risk input provided from this team to our senior leadership team on a regular basis. Our CIO provides key updates on risk and mitigation strategies to the Audit Committee.</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on third-party service providers to execute certain business processes, maintain certain information systems and infrastructure, evaluate defenses, and implement recommendations. We periodically have external information security assessments performed by third parties to analyze our internal assessment results and to stay informed of information security risks. Additionally, we maintain a supplier validation process, which involves approval by our cybersecurity group for significant suppliers that will have access to any of our databases or technology. We also maintain processes to oversee and identify risks from cybersecurity threats associated with our use of third-party service providers.</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we have experienced cybersecurity incidents in the past, as of the date of this filing, we do not believe that any risks from cybersecurity threats, including as a result of past cybersecurity incidents have had, or are reasonably likely to have, a material effect on the Company, including our business strategy, results of operations or financial position. We continue to invest in the cybersecurity and resiliency of our networks and to enhance our internal controls and processes, which are designed to help protect our systems and infrastructure, and the information they contain. For more information regarding the risks we face from cybersecurity threats, please see “Risk Factors-- More General Risks Applicable to Our Industry.”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Board of Directors is responsible for overseeing risk for the Company and has delegated to the Audit Committee responsibility for overseeing the cybersecurity risk management strategy for the Company. The Audit Committee reviews how we are executing against our comprehensive cybersecurity framework, including reviewing our cybersecurity reporting protocol. The Audit Committee receives regular updates on cybersecurity risks from our CIO. The Audit Committee also regularly receives updates on efforts regarding data loss prevention, regulatory compliance, data privacy, threat and vulnerability management, cyber-crisis management, and other topics as applicable. Additionally, management provides the Audit Committee with a cybersecurity dashboard, which the full Board of Directors can access as well.</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cybersecurity program is overseen by our CIO, who is responsible for assessing and managing material risks from cybersecurity threats, including monitoring the prevention, detection, mitigation and remediation of cybersecurity incidents. Our CIO has over 20 years of global automotive technology and cybersecurity experience and reports to our President and Chief Executive Officer.</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Security Manager reports to our CIO and is the head of our cybersecurity team. The Security Manager is responsible for assessing and managing our cyber risk management program, informs senior management, together with the CIO, regarding the prevention, detection, mitigation, and remediation of cybersecurity incidents and supervises such efforts. Our Security Manager has over 15 years of experience in technology and cybersecurity, a master’s degree in information security and industry certifications, including CISSP, CDPSE, ITIL, and COBIT.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6" w:name="page27"/>
    <w:bookmarkEnd w:id="26"/>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u w:val="single" w:color="auto"/>
          <w:color w:val="auto"/>
        </w:rPr>
        <w:t>Properties</w:t>
      </w:r>
      <w:r>
        <w:rPr>
          <w:rFonts w:ascii="Times New Roman" w:cs="Times New Roman" w:eastAsia="Times New Roman" w:hAnsi="Times New Roman"/>
          <w:sz w:val="14"/>
          <w:szCs w:val="14"/>
          <w:b w:val="1"/>
          <w:bCs w:val="1"/>
          <w:color w:val="auto"/>
        </w:rPr>
        <w: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operate facilities in a total of 21 locations, 20 throughout the U.S. and one location in Mexico. The number of physical locations we operate is part of our strategy to develop coast-to-coast manufacturing and distribution capabilities.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Fleet Vehicles and Services segment operates facilities in Bristol, Indiana; Charlotte, Michigan; Landisville, Pennsylvania; and Kansas City, Missouri. All of these facilities are leased except for facilities in Charlotte, which are owned by the Company. FVS also operates facilities in Saltillo, Mexico.</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Specialty Vehicles segment operates facilities in Charlotte and Roseville, Michigan; Carson and McClellan Park, California; Dallas and Weatherford, Texas; Mesa, Arizona; Waterville, Maine; and Pompano Beach, West Palm Beach and Miami, Florida; Lebanon, Tennessee; Kansas City, Missouri; and Oakland, Iowa. All of these facilities are leased except for the Charlotte, Pompano Beach, Roseville, Oakland, and Kansas City facilities, which are owned by the Company.</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our corporate headquarters are located in an office building and showroom in Novi, Michigan, that we lease. We also have certain corporate functions that operate out of our campus in Charlotte and Plymouth, Michigan.</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consider our properties to generally be in good condition, well maintained, and suitable and adequate to meet our business requirements for the foreseeable future. We do not anticipate difficulty in renewing existing leases as they expire or in finding alternative facilities.</w:t>
      </w:r>
    </w:p>
    <w:p>
      <w:pPr>
        <w:spacing w:after="0" w:line="12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u w:val="single" w:color="auto"/>
          <w:color w:val="auto"/>
        </w:rPr>
        <w:t>Legal Proceedings.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we were parties, both as plaintiff or defendant, to a number of lawsuits and claims arising out of the normal conduct of our businesses. Our management does not currently expect our financial position, future operating results or cash flows to be materially affected by the final outcome of these legal proceedings. The information contained in “Note 10 – Commitments and Contingent Liabilities” of the Notes to Consolidated Financial Statements appearing in Item 8 of this Form 10-K is incorporated herein by reference.</w:t>
      </w:r>
    </w:p>
    <w:p>
      <w:pPr>
        <w:spacing w:after="0" w:line="13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u w:val="single" w:color="auto"/>
          <w:color w:val="auto"/>
        </w:rPr>
        <w:t>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u w:val="single" w:color="auto"/>
          <w:color w:val="auto"/>
        </w:rPr>
        <w:t>Market for Registrant’s Common Equity, Related Stockholder Matters, and Issuer Purchases of Equity Securities</w:t>
      </w:r>
      <w:r>
        <w:rPr>
          <w:rFonts w:ascii="Times New Roman" w:cs="Times New Roman" w:eastAsia="Times New Roman" w:hAnsi="Times New Roman"/>
          <w:sz w:val="14"/>
          <w:szCs w:val="14"/>
          <w:b w:val="1"/>
          <w:bCs w:val="1"/>
          <w:color w:val="auto"/>
        </w:rPr>
        <w: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“SHYF.” The number of shareholders of record of our common stock on February 14, 2025 was 219. See Item 12 below for information concerning our equity compensation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paid dividends on our outstanding common shares in 2024 and 2023 as shown in the table below.</w:t>
      </w:r>
    </w:p>
    <w:p>
      <w:pPr>
        <w:spacing w:after="0" w:line="17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7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Date dividend</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Dividend per</w:t>
            </w:r>
          </w:p>
        </w:tc>
      </w:tr>
      <w:tr>
        <w:trPr>
          <w:trHeight w:val="184"/>
        </w:trPr>
        <w:tc>
          <w:tcPr>
            <w:tcW w:w="27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declared</w:t>
            </w:r>
          </w:p>
        </w:tc>
        <w:tc>
          <w:tcPr>
            <w:tcW w:w="100" w:type="dxa"/>
            <w:vAlign w:val="bottom"/>
          </w:tcPr>
          <w:p>
            <w:pPr>
              <w:spacing w:after="0"/>
              <w:rPr>
                <w:sz w:val="16"/>
                <w:szCs w:val="16"/>
                <w:color w:val="auto"/>
              </w:rPr>
            </w:pPr>
          </w:p>
        </w:tc>
        <w:tc>
          <w:tcPr>
            <w:tcW w:w="24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Record date</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Payment date</w:t>
            </w: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share ($)</w:t>
            </w:r>
          </w:p>
        </w:tc>
        <w:tc>
          <w:tcPr>
            <w:tcW w:w="20" w:type="dxa"/>
            <w:vAlign w:val="bottom"/>
          </w:tcPr>
          <w:p>
            <w:pPr>
              <w:spacing w:after="0"/>
              <w:rPr>
                <w:sz w:val="16"/>
                <w:szCs w:val="16"/>
                <w:color w:val="auto"/>
              </w:rPr>
            </w:pPr>
          </w:p>
        </w:tc>
      </w:tr>
      <w:tr>
        <w:trPr>
          <w:trHeight w:val="16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Oct. 30, 2024</w:t>
            </w:r>
          </w:p>
        </w:tc>
        <w:tc>
          <w:tcPr>
            <w:tcW w:w="2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Nov. 15, 2024</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 16, 204</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Pr>
          <w:p>
            <w:pPr>
              <w:spacing w:after="0"/>
              <w:rPr>
                <w:sz w:val="13"/>
                <w:szCs w:val="13"/>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Aug. 2, 2024</w:t>
            </w:r>
          </w:p>
        </w:tc>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16, 2024</w:t>
            </w:r>
          </w:p>
        </w:tc>
        <w:tc>
          <w:tcPr>
            <w:tcW w:w="10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Sep. 16, 2024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Pr>
          <w:p>
            <w:pPr>
              <w:spacing w:after="0"/>
              <w:rPr>
                <w:sz w:val="14"/>
                <w:szCs w:val="14"/>
                <w:color w:val="auto"/>
              </w:rPr>
            </w:pPr>
          </w:p>
        </w:tc>
      </w:tr>
      <w:tr>
        <w:trPr>
          <w:trHeight w:val="17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3, 2024</w:t>
            </w:r>
          </w:p>
        </w:tc>
        <w:tc>
          <w:tcPr>
            <w:tcW w:w="2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May 17, 2024</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 17, 2024</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Pr>
          <w:p>
            <w:pPr>
              <w:spacing w:after="0"/>
              <w:rPr>
                <w:sz w:val="14"/>
                <w:szCs w:val="14"/>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Feb. 1, 2024</w:t>
            </w:r>
          </w:p>
        </w:tc>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16, 2024</w:t>
            </w:r>
          </w:p>
        </w:tc>
        <w:tc>
          <w:tcPr>
            <w:tcW w:w="10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Mar. 18, 2024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Pr>
          <w:p>
            <w:pPr>
              <w:spacing w:after="0"/>
              <w:rPr>
                <w:sz w:val="14"/>
                <w:szCs w:val="14"/>
                <w:color w:val="auto"/>
              </w:rPr>
            </w:pPr>
          </w:p>
        </w:tc>
      </w:tr>
      <w:tr>
        <w:trPr>
          <w:trHeight w:val="17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Oct. 31, 2023</w:t>
            </w:r>
          </w:p>
        </w:tc>
        <w:tc>
          <w:tcPr>
            <w:tcW w:w="2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Nov. 16, 2023</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 15, 2023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Pr>
          <w:p>
            <w:pPr>
              <w:spacing w:after="0"/>
              <w:rPr>
                <w:sz w:val="14"/>
                <w:szCs w:val="14"/>
                <w:color w:val="auto"/>
              </w:rPr>
            </w:pP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Aug. 2, 2023</w:t>
            </w:r>
          </w:p>
        </w:tc>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17, 2023</w:t>
            </w:r>
          </w:p>
        </w:tc>
        <w:tc>
          <w:tcPr>
            <w:tcW w:w="10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Sep. 18, 2023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Pr>
          <w:p>
            <w:pPr>
              <w:spacing w:after="0"/>
              <w:rPr>
                <w:sz w:val="14"/>
                <w:szCs w:val="14"/>
                <w:color w:val="auto"/>
              </w:rPr>
            </w:pPr>
          </w:p>
        </w:tc>
      </w:tr>
      <w:tr>
        <w:trPr>
          <w:trHeight w:val="17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2, 2023</w:t>
            </w:r>
          </w:p>
        </w:tc>
        <w:tc>
          <w:tcPr>
            <w:tcW w:w="2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May 17, 2023</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 20, 2023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Pr>
          <w:p>
            <w:pPr>
              <w:spacing w:after="0"/>
              <w:rPr>
                <w:sz w:val="14"/>
                <w:szCs w:val="14"/>
                <w:color w:val="auto"/>
              </w:rPr>
            </w:pPr>
          </w:p>
        </w:tc>
      </w:tr>
      <w:tr>
        <w:trPr>
          <w:trHeight w:val="184"/>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Jan. 31, 2023</w:t>
            </w:r>
          </w:p>
        </w:tc>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17, 2023</w:t>
            </w:r>
          </w:p>
        </w:tc>
        <w:tc>
          <w:tcPr>
            <w:tcW w:w="10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Mar. 17, 2023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Pr>
          <w:p>
            <w:pPr>
              <w:spacing w:after="0"/>
              <w:rPr>
                <w:sz w:val="16"/>
                <w:szCs w:val="16"/>
                <w:color w:val="auto"/>
              </w:rPr>
            </w:pPr>
          </w:p>
        </w:tc>
      </w:tr>
    </w:tbl>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assurance, however, can be given that any future dividends will be made or, if made, as to the amounts or timing of any future dividends as such dividends are subject to earnings, financial condition, liquidity, capital requirements, and such other factors as our Board of Directors deems relevant.</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graph compares the cumulative total stockholder return on our common stock with the cumulative total return on the NASDAQ Composite Index and the Dow Jones U.S. Commercial Vehicles &amp; Trucks Total Stock Market Index for the period beginning on December 31, 2019 and ending on the last day of 2024. The graph assumes an investment of $100 in our stock, the NASDAQ Composite Index, and the Dow Jones U.S. Commercial Vehicles &amp; Trucks Total Stock Market Index on December 31, 2019, and further assumes the reinvestment of all dividends. Stock price performance, presented for the period from December 31, 2019 to December 31, 2024, is not necessarily indicative of future results.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318135</wp:posOffset>
            </wp:positionV>
            <wp:extent cx="5415280" cy="269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415280" cy="269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12/31/2019</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12/31/2020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12/31/2021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12/31/2022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12/31/2023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12/31/2024</w:t>
            </w:r>
          </w:p>
        </w:tc>
        <w:tc>
          <w:tcPr>
            <w:tcW w:w="100" w:type="dxa"/>
            <w:vAlign w:val="bottom"/>
          </w:tcPr>
          <w:p>
            <w:pPr>
              <w:spacing w:after="0"/>
              <w:rPr>
                <w:sz w:val="16"/>
                <w:szCs w:val="16"/>
                <w:color w:val="auto"/>
              </w:rPr>
            </w:pPr>
          </w:p>
        </w:tc>
      </w:tr>
      <w:tr>
        <w:trPr>
          <w:trHeight w:val="161"/>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Shyft Group, Inc.</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157.83</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273.90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139.57</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69.39</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67.70</w:t>
            </w:r>
          </w:p>
        </w:tc>
        <w:tc>
          <w:tcPr>
            <w:tcW w:w="100" w:type="dxa"/>
            <w:vAlign w:val="bottom"/>
            <w:shd w:val="clear" w:color="auto" w:fill="CCEEFF"/>
          </w:tcPr>
          <w:p>
            <w:pPr>
              <w:spacing w:after="0"/>
              <w:rPr>
                <w:sz w:val="13"/>
                <w:szCs w:val="13"/>
                <w:color w:val="auto"/>
              </w:rPr>
            </w:pPr>
          </w:p>
        </w:tc>
      </w:tr>
      <w:tr>
        <w:trPr>
          <w:trHeight w:val="17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NASDAQ Composite Index</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144.92</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177.06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119.45</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172.77</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223.87</w:t>
            </w:r>
          </w:p>
        </w:tc>
      </w:tr>
      <w:tr>
        <w:trPr>
          <w:trHeight w:val="155"/>
        </w:trPr>
        <w:tc>
          <w:tcPr>
            <w:tcW w:w="3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Dow Jones U.S. Commercial Vehicles &amp; Trucks Total</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Market Index</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128.80</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151.53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177.94</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204.99</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244.65</w:t>
            </w:r>
          </w:p>
        </w:tc>
      </w:tr>
    </w:tbl>
    <w:p>
      <w:pPr>
        <w:spacing w:after="0" w:line="155"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4"/>
          <w:szCs w:val="14"/>
          <w:color w:val="auto"/>
        </w:rPr>
        <w:t>The stock price performance graph and related information shall not be deemed “filed” with the Securities and Exchange Commission, nor shall such information be incorporated by reference by any general statement incorporating by reference this Form 10-K into any filing under the Securities Act of 1933 or the Securities Exchange Act of 1934, each as amended, except to the extent that we specifically incorporate this information by reference.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8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On February 17, 2022, our Board of Directors authorized the repurchase of up to $250.0 million of our common stock in open market transactions. We believe that we have sufficient resources to fund any potential stock buyback in which we may engage over the long term, although we are currently restricted from repurchasing our common stock under the terms of the Merger Agreement.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69215</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300"/>
          </w:cols>
          <w:pgMar w:left="280" w:top="144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During the quarter ended December 31, 2024, no shares were repurchased under this authorization. A summary of our purchases of our common stock during the fourth quarter of 2024 is as follows:</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Approximate Dollar</w:t>
            </w:r>
          </w:p>
        </w:tc>
      </w:tr>
      <w:tr>
        <w:trPr>
          <w:trHeight w:val="170"/>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w w:val="99"/>
              </w:rPr>
              <w:t>Total Number of</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Value of Shares That</w:t>
            </w:r>
          </w:p>
        </w:tc>
      </w:tr>
      <w:tr>
        <w:trPr>
          <w:trHeight w:val="170"/>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Shares Purchased</w:t>
            </w:r>
          </w:p>
        </w:tc>
        <w:tc>
          <w:tcPr>
            <w:tcW w:w="2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May Yet be Purchased</w:t>
            </w:r>
          </w:p>
        </w:tc>
      </w:tr>
      <w:tr>
        <w:trPr>
          <w:trHeight w:val="170"/>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w:t>
            </w:r>
          </w:p>
        </w:tc>
        <w:tc>
          <w:tcPr>
            <w:tcW w:w="460" w:type="dxa"/>
            <w:vAlign w:val="bottom"/>
          </w:tcPr>
          <w:p>
            <w:pPr>
              <w:spacing w:after="0"/>
              <w:rPr>
                <w:sz w:val="14"/>
                <w:szCs w:val="14"/>
                <w:color w:val="auto"/>
              </w:rPr>
            </w:pPr>
          </w:p>
        </w:tc>
        <w:tc>
          <w:tcPr>
            <w:tcW w:w="8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Average</w:t>
            </w:r>
          </w:p>
        </w:tc>
        <w:tc>
          <w:tcPr>
            <w:tcW w:w="184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as Part of Publicly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Under Announced</w:t>
            </w:r>
          </w:p>
        </w:tc>
      </w:tr>
      <w:tr>
        <w:trPr>
          <w:trHeight w:val="170"/>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460" w:type="dxa"/>
            <w:vAlign w:val="bottom"/>
          </w:tcPr>
          <w:p>
            <w:pPr>
              <w:spacing w:after="0"/>
              <w:rPr>
                <w:sz w:val="14"/>
                <w:szCs w:val="14"/>
                <w:color w:val="auto"/>
              </w:rPr>
            </w:pPr>
          </w:p>
        </w:tc>
        <w:tc>
          <w:tcPr>
            <w:tcW w:w="80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Price Paid</w:t>
            </w:r>
          </w:p>
        </w:tc>
        <w:tc>
          <w:tcPr>
            <w:tcW w:w="184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Announced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Plans or Programs</w:t>
            </w:r>
          </w:p>
        </w:tc>
      </w:tr>
      <w:tr>
        <w:trPr>
          <w:trHeight w:val="184"/>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Period</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Purchased (1)</w:t>
            </w:r>
          </w:p>
        </w:tc>
        <w:tc>
          <w:tcPr>
            <w:tcW w:w="460" w:type="dxa"/>
            <w:vAlign w:val="bottom"/>
          </w:tcPr>
          <w:p>
            <w:pPr>
              <w:spacing w:after="0"/>
              <w:rPr>
                <w:sz w:val="16"/>
                <w:szCs w:val="16"/>
                <w:color w:val="auto"/>
              </w:rPr>
            </w:pPr>
          </w:p>
        </w:tc>
        <w:tc>
          <w:tcPr>
            <w:tcW w:w="80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per Share</w:t>
            </w:r>
          </w:p>
        </w:tc>
        <w:tc>
          <w:tcPr>
            <w:tcW w:w="184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or Programs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(2) (In millions)</w:t>
            </w:r>
          </w:p>
        </w:tc>
      </w:tr>
      <w:tr>
        <w:trPr>
          <w:trHeight w:val="161"/>
        </w:trPr>
        <w:tc>
          <w:tcPr>
            <w:tcW w:w="20" w:type="dxa"/>
            <w:vAlign w:val="bottom"/>
          </w:tcPr>
          <w:p>
            <w:pPr>
              <w:spacing w:after="0"/>
              <w:rPr>
                <w:sz w:val="13"/>
                <w:szCs w:val="13"/>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4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12.84</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0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November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7,721</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1409"/>
              <w:spacing w:after="0"/>
              <w:rPr>
                <w:sz w:val="20"/>
                <w:szCs w:val="20"/>
                <w:color w:val="auto"/>
              </w:rPr>
            </w:pPr>
            <w:r>
              <w:rPr>
                <w:rFonts w:ascii="Times New Roman" w:cs="Times New Roman" w:eastAsia="Times New Roman" w:hAnsi="Times New Roman"/>
                <w:sz w:val="14"/>
                <w:szCs w:val="14"/>
                <w:color w:val="auto"/>
              </w:rPr>
              <w:t>13.62</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223.0</w:t>
            </w:r>
          </w:p>
        </w:tc>
      </w:tr>
      <w:tr>
        <w:trPr>
          <w:trHeight w:val="170"/>
        </w:trPr>
        <w:tc>
          <w:tcPr>
            <w:tcW w:w="20" w:type="dxa"/>
            <w:vAlign w:val="bottom"/>
          </w:tcPr>
          <w:p>
            <w:pPr>
              <w:spacing w:after="0"/>
              <w:rPr>
                <w:sz w:val="14"/>
                <w:szCs w:val="1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316,813</w:t>
            </w:r>
          </w:p>
        </w:tc>
        <w:tc>
          <w:tcPr>
            <w:tcW w:w="4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11.80</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1"/>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325,152</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ind w:left="260" w:right="260"/>
        <w:spacing w:after="0" w:line="263" w:lineRule="auto"/>
        <w:tabs>
          <w:tab w:leader="none" w:pos="47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quarter ended December 31, 2024, 325,152 shares were delivered by employees in satisfaction of tax withholding obligations that occurred upon the vesting of restricted shares. These shares are not repurchased pursuant to the Board of Directors authorization disclosed above.</w:t>
      </w:r>
    </w:p>
    <w:p>
      <w:pPr>
        <w:spacing w:after="0" w:line="1"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the number of shares that may yet be purchased pursuant to the Board of Directors authorization described above.</w:t>
      </w:r>
    </w:p>
    <w:p>
      <w:pPr>
        <w:spacing w:after="0" w:line="16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u w:val="single" w:color="auto"/>
          <w:color w:val="auto"/>
        </w:rPr>
        <w:t>[Reserved]</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486" w:right="379" w:bottom="1440" w:gutter="0" w:footer="0" w:header="0"/>
        </w:sectPr>
      </w:pPr>
    </w:p>
    <w:bookmarkStart w:id="30" w:name="page31"/>
    <w:bookmarkEnd w:id="30"/>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u w:val="single" w:color="auto"/>
          <w:color w:val="auto"/>
        </w:rPr>
        <w:t>Management’s Discussion and Analysis of Financial Condition and Results of Operations</w:t>
      </w:r>
      <w:r>
        <w:rPr>
          <w:rFonts w:ascii="Times New Roman" w:cs="Times New Roman" w:eastAsia="Times New Roman" w:hAnsi="Times New Roman"/>
          <w:sz w:val="14"/>
          <w:szCs w:val="14"/>
          <w:b w:val="1"/>
          <w:b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Shyft Group, Inc. was organized as a Michigan corporation and is headquartered in Novi, Michigan. 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service and vocational truck bodies, luxury Class A diesel motorhome chassis and contract manufacturing and assembly services. We also supply replacement parts and offer repair, maintenance, field service and refurbishment services for the vehicles that we manufacture as well as truck accessories.</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vehicles, parts and services are sold to commercial users, original equipment manufacturers (OEMs), dealers, individual end users, and municipalities and other governmental entities.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is agile and able to quickly respond to market needs, take advantage of strategic opportunities when they arise and correctly size and scale operations to ensure stability and growth.</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we can best carry out our long-term business plan and obtain optimal financial flexibility by using a combination of borrowings under our credit facilities, and internally or externally generated equity capital, as sources of expansion capital.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Aebi Schmidt Transaction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16, 2024, we entered into that certain Agreement and Plan of Merger, dated as of December 16, 2024 (the “Merger Agreement”), by and among the Company, Aebi Schmidt Holding AG, a Switzerland Aktiengesellschaft (“Aebi Schmidt”), ASH US Group, LLC, a Delaware limited liability company and direct, wholly owned subsidiary of Aebi Schmidt (“Holdco”), and Badger Merger Sub, Inc., a Michigan corporation and direct, wholly owned subsidiary of Holdco (“Merger Sub”), pursuant to which, on the terms and subject to the conditions set forth in the Merger Agreement, Merger Sub will merge with and into the Company (the “Merger”, and the time at which the Merger is effective, the “Effective Time”), with the Company surviving the Merger as a direct, wholly owned subsidiary of Holdco and as an indirect, wholly owned subsidiary of Aebi Schmidt (the transactions contemplated by the Merger Agreement, the “Transactions”).</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At the Effective Time, each share of our common stock issued and outstanding as of immediately prior to the Effective Time (other than any shares of our common stock that are held as of immediately prior to the Effective Time by Holdco, Aebi Schmidt, Merger Sub or any of their respective subsidiaries) will automatically be converted into the right to receive 1.040166432 fully paid and nonassessable shares of common stock, par value $1.00 per share, of Aebi Schmidt (“Aebi Schmidt Common Stock”), on the terms and subject to the conditions set forth in the Merger Agreement.</w:t>
      </w:r>
    </w:p>
    <w:p>
      <w:pPr>
        <w:spacing w:after="0" w:line="3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Following the closing of the Transactions (the “Closing”), the holders of shares of our common stock as of immediately prior to the Effective Time will own approximately 48% of the issued and outstanding shares of Aebi Schmidt Common Stock and the holders of shares of Aebi Schmidt Common Stock as of immediately prior to the Effective Time will own approximately 52% of the issued and outstanding shares of Aebi Schmidt Common Stock.</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immediately following the Effective Time, the board of directors of Aebi Schmidt (the “Aebi Schmidt Board”) will be composed of eleven members, six of whom will be designated by Aebi Schmidt and five of whom will be designated by the Company. James A. Sharman, the Chairman of our Board of Directors as of immediately prior to the Effective Time, will serve as the Chairman of the Aebi Schmidt Board following the Effective Time. The Merger Agreement includes a covenant requiring the Company and Aebi Schmidt to cooperate in good faith until the Closing to agree on a new name and ticker symbol for Aebi Schmidt.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31" w:name="page32"/>
    <w:bookmarkEnd w:id="31"/>
    <w:p>
      <w:pPr>
        <w:jc w:val="both"/>
        <w:spacing w:after="0" w:line="260" w:lineRule="auto"/>
        <w:rPr>
          <w:sz w:val="20"/>
          <w:szCs w:val="20"/>
          <w:color w:val="auto"/>
        </w:rPr>
      </w:pPr>
      <w:r>
        <w:rPr>
          <w:rFonts w:ascii="Times New Roman" w:cs="Times New Roman" w:eastAsia="Times New Roman" w:hAnsi="Times New Roman"/>
          <w:sz w:val="14"/>
          <w:szCs w:val="14"/>
          <w:color w:val="auto"/>
        </w:rPr>
        <w:t>The Closing is expected to occur in mid-2025, subject to certain closing conditions, including, among others, (a) the affirmative vote of the holders of a majority of the outstanding shares of our common stock, (b) the approval by a two-thirds majority of the shares of Aebi Schmidt Common Stock represented at an extraordinary meeting of the shareholders of Aebi Schmidt of the Transactions and debt financing, (c) the expiration or termination of any waiting periods (or any extension thereof) applicable to the consummation of the Merger under the Hart-Scott-Rodino Antitrust Improvements Act of 1976, as amended (the “HSR Act”), and (d) the receipt of certain required regulatory consents, approvals, non-disapprovals and other authorizations under certain applicable antitrust and foreign direct investment laws and regulations specified in the Merger Agreement. The obligation of the Company to consummate the Closing is further conditioned on Aebi Schmidt obtaining debt financing substantially concurrently with the Closing.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Executive Overview</w:t>
      </w:r>
    </w:p>
    <w:p>
      <w:pPr>
        <w:spacing w:after="0" w:line="181"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$786.2 million in 2024, compared to $872.2 million in 2023</w:t>
      </w:r>
    </w:p>
    <w:p>
      <w:pPr>
        <w:spacing w:after="0" w:line="3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margin of 20.0% in 2024, compared to 17.2% in 2023</w:t>
      </w:r>
    </w:p>
    <w:p>
      <w:pPr>
        <w:spacing w:after="0" w:line="30" w:lineRule="exact"/>
        <w:rPr>
          <w:rFonts w:ascii="Times New Roman" w:cs="Times New Roman" w:eastAsia="Times New Roman" w:hAnsi="Times New Roman"/>
          <w:sz w:val="14"/>
          <w:szCs w:val="14"/>
          <w:color w:val="auto"/>
        </w:rPr>
      </w:pPr>
    </w:p>
    <w:p>
      <w:pPr>
        <w:ind w:left="520" w:hanging="260"/>
        <w:spacing w:after="0" w:line="263"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 of $153.1 million ($16.3 million related to research and development), or 19.5% of sales in 2024, compared to $143.6 million ($25.2 million related to research and development), or 16.5% of sales in 2023</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of $4.1 million in 2024, compared to $6.8 million in 2023</w:t>
      </w:r>
    </w:p>
    <w:p>
      <w:pPr>
        <w:spacing w:after="0" w:line="1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expense of $0.6 million in 2024, compared to income tax benefit of $5.8 million in 2023</w:t>
      </w:r>
    </w:p>
    <w:p>
      <w:pPr>
        <w:spacing w:after="0" w:line="3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of ($2.8) million in 2024, compared to $6.5 million in 2023</w:t>
      </w:r>
    </w:p>
    <w:p>
      <w:pPr>
        <w:spacing w:after="0" w:line="3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(loss) per share of ($0.08) in 2024, compared to $0.19 in 2023</w:t>
      </w:r>
    </w:p>
    <w:p>
      <w:pPr>
        <w:spacing w:after="0" w:line="3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cash flow of $30.1 million in 2024, compared to $56.2 million in 2023</w:t>
      </w:r>
    </w:p>
    <w:p>
      <w:pPr>
        <w:spacing w:after="0" w:line="3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 backlog of $313.2 million at the end of 2024, compared to $409.3 million at the end of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our sales by market for the years ended December 31, 2024, 2023 and 2022 as a percentage of total sales:</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r>
      <w:tr>
        <w:trPr>
          <w:trHeight w:val="161"/>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Fleet vehicles sales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46.7%</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r>
      <w:tr>
        <w:trPr>
          <w:trHeight w:val="170"/>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Motorhome chassis sales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7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specialty vehicles sales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31.4%</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7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Aftermarket parts and accessories sales</w:t>
            </w:r>
          </w:p>
        </w:tc>
        <w:tc>
          <w:tcPr>
            <w:tcW w:w="10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5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sales</w:t>
            </w:r>
          </w:p>
        </w:tc>
        <w:tc>
          <w:tcPr>
            <w:tcW w:w="10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continue to seek out opportunities to grow the business, both organically and by acquisition, by expanding relationships with existing customers, seeking out new business wins, and pursuing acquisitions in a strategic fashion.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32" w:name="page33"/>
    <w:bookmarkEnd w:id="32"/>
    <w:p>
      <w:pPr>
        <w:spacing w:after="0" w:line="287" w:lineRule="auto"/>
        <w:rPr>
          <w:sz w:val="20"/>
          <w:szCs w:val="20"/>
          <w:color w:val="auto"/>
        </w:rPr>
      </w:pPr>
      <w:r>
        <w:rPr>
          <w:rFonts w:ascii="Times New Roman" w:cs="Times New Roman" w:eastAsia="Times New Roman" w:hAnsi="Times New Roman"/>
          <w:sz w:val="14"/>
          <w:szCs w:val="14"/>
          <w:color w:val="auto"/>
        </w:rPr>
        <w:t>We believe we are well positioned to take advantage of long-term opportunities and continue our efforts to bring product innovations to each of the markets we serve. Some of our recent innovations and strategic developments include:</w:t>
      </w:r>
    </w:p>
    <w:p>
      <w:pPr>
        <w:spacing w:after="0" w:line="125" w:lineRule="exact"/>
        <w:rPr>
          <w:sz w:val="20"/>
          <w:szCs w:val="20"/>
          <w:color w:val="auto"/>
        </w:rPr>
      </w:pPr>
    </w:p>
    <w:p>
      <w:pPr>
        <w:jc w:val="both"/>
        <w:ind w:left="520" w:hanging="388"/>
        <w:spacing w:after="0" w:line="264"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Independent Truck Upfitters (“ITU”), a Midwest-based provider of vocational service body upfit for commercial fleets and government service vehicles, on July 24, 2024 for cash consideration of $49.9 million and up to an additional $8.0 million earn-out amount. The ITU acquisition aligns with our growth strategy by expanding our service body product offerings and upfit capabilities. This transaction provides unique synergies and cross-selling opportunities with current products, adds a chassis pool and increases ship-thru capability to support future growth. ITU is part of our Specialty Vehicle segment.</w:t>
      </w:r>
    </w:p>
    <w:p>
      <w:pPr>
        <w:spacing w:after="0" w:line="141" w:lineRule="exact"/>
        <w:rPr>
          <w:rFonts w:ascii="Times New Roman" w:cs="Times New Roman" w:eastAsia="Times New Roman" w:hAnsi="Times New Roman"/>
          <w:sz w:val="14"/>
          <w:szCs w:val="14"/>
          <w:color w:val="auto"/>
        </w:rPr>
      </w:pPr>
    </w:p>
    <w:p>
      <w:pPr>
        <w:jc w:val="both"/>
        <w:ind w:left="520" w:hanging="388"/>
        <w:spacing w:after="0" w:line="264"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2022, we announced Blue Arc™ Electric Vehicle (“EV”) Solutions. Leveraging a scalable, commercial grade, purpose built design, the full Blue Arc EV offering will include Class 3, 4 and 5 walk-in van configurations with body length options from 12 to 22 feet. Designed for last-mile delivery fleets, these vehicles will be powered by lithium-ion battery packs that can deliver over 150 mile range at 50% payload. We expect Shyft customers can maximize productivity and minimize cost of ownership, including fuel and maintenance costs with our Blue Arc EV product offering.</w:t>
      </w:r>
    </w:p>
    <w:p>
      <w:pPr>
        <w:spacing w:after="0" w:line="141" w:lineRule="exact"/>
        <w:rPr>
          <w:rFonts w:ascii="Times New Roman" w:cs="Times New Roman" w:eastAsia="Times New Roman" w:hAnsi="Times New Roman"/>
          <w:sz w:val="14"/>
          <w:szCs w:val="14"/>
          <w:color w:val="auto"/>
        </w:rPr>
      </w:pPr>
    </w:p>
    <w:p>
      <w:pPr>
        <w:jc w:val="both"/>
        <w:ind w:left="520" w:hanging="388"/>
        <w:spacing w:after="0" w:line="264"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2024, we announced the deployment of our Rapid Driver Cooling System in 5,860 walk-in vans. Designed for versatility, the Rapid Driver Cooling System can be integrated into both new and existing vehicles, ranging from walk-in vans to vocational delivery trucks. The system efficiently lowers ambient cabin temperatures from 105 degrees to 85 degrees Fahrenheit within two minutes. It can serve as a supplementary solution or a complete replacement for traditional in-dash air conditioning, focusing on cooling the driver’s area and the cabin space effectively.</w:t>
      </w:r>
    </w:p>
    <w:p>
      <w:pPr>
        <w:spacing w:after="0" w:line="14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following section provides a narrative discussion about our financial condition and results of operations. Certain amounts in the narrative may not sum due to rounding. The comments should be read in conjunction with our Consolidated Financial Statements and related Notes thereto appearing in Item 8 of this Form 10-K.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jc w:val="both"/>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discussion of our 2023 consolidated operating results compared to our 2022 consolidated operating results is included in Item 7. Management’s Discussion and Analysis of Financial Condition and Results of Operations (“MD&amp;A”) of our </w:t>
      </w:r>
      <w:hyperlink r:id="rId57">
        <w:r>
          <w:rPr>
            <w:rFonts w:ascii="Times New Roman" w:cs="Times New Roman" w:eastAsia="Times New Roman" w:hAnsi="Times New Roman"/>
            <w:sz w:val="14"/>
            <w:szCs w:val="14"/>
            <w:u w:val="single" w:color="auto"/>
            <w:color w:val="0000EE"/>
          </w:rPr>
          <w:t>2023 Annual Report on Form 10-K filed February 22,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is incorporated by reference into this MD&amp;A.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the components of our consolidated statements of operations, as a percentage of sales (percentages may not sum due to rounding):</w:t>
      </w:r>
    </w:p>
    <w:p>
      <w:pPr>
        <w:spacing w:after="0" w:line="17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r>
      <w:tr>
        <w:trPr>
          <w:trHeight w:val="161"/>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r>
      <w:tr>
        <w:trPr>
          <w:trHeight w:val="170"/>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Cost of products sold</w:t>
            </w:r>
          </w:p>
        </w:tc>
        <w:tc>
          <w:tcPr>
            <w:tcW w:w="10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80.0</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82.8</w:t>
            </w:r>
          </w:p>
        </w:tc>
      </w:tr>
      <w:tr>
        <w:trPr>
          <w:trHeight w:val="20"/>
        </w:trPr>
        <w:tc>
          <w:tcPr>
            <w:tcW w:w="6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20.0</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17.2</w:t>
            </w:r>
          </w:p>
        </w:tc>
      </w:tr>
      <w:tr>
        <w:trPr>
          <w:trHeight w:val="170"/>
        </w:trPr>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w:t>
            </w:r>
          </w:p>
        </w:tc>
      </w:tr>
      <w:tr>
        <w:trPr>
          <w:trHeight w:val="170"/>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17.4</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13.6</w:t>
            </w:r>
          </w:p>
        </w:tc>
      </w:tr>
      <w:tr>
        <w:trPr>
          <w:trHeight w:val="20"/>
        </w:trPr>
        <w:tc>
          <w:tcPr>
            <w:tcW w:w="6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0.7</w:t>
            </w:r>
          </w:p>
        </w:tc>
      </w:tr>
      <w:tr>
        <w:trPr>
          <w:trHeight w:val="170"/>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net</w:t>
            </w:r>
          </w:p>
        </w:tc>
        <w:tc>
          <w:tcPr>
            <w:tcW w:w="10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r>
      <w:tr>
        <w:trPr>
          <w:trHeight w:val="20"/>
        </w:trPr>
        <w:tc>
          <w:tcPr>
            <w:tcW w:w="6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r>
      <w:tr>
        <w:trPr>
          <w:trHeight w:val="20"/>
        </w:trPr>
        <w:tc>
          <w:tcPr>
            <w:tcW w:w="6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(0.4)</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0.7</w:t>
            </w:r>
          </w:p>
        </w:tc>
      </w:tr>
      <w:tr>
        <w:trPr>
          <w:trHeight w:val="20"/>
        </w:trPr>
        <w:tc>
          <w:tcPr>
            <w:tcW w:w="68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Sales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Consolidated sales for the year ended December 31, 2024 decreased by $86.0 million, or 9.9% to $786.2 million from $872.2 million in 2023. This decrease is driven by lower sales volumes in our FVS segment attributed to lower sales of walk-in vans, truck bodies and lower USPS pass-through chassis sales partially offset by higher upfit sales, and higher sales volumes in our SV segment driven by higher service body sales including the acquisition of ITU partially offset by lower motorhome chassis sales. These changes in sales are discussed more fully in the discussion of our segments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Cost of Products Sold</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Cost of products sold decreased by $92.8 million, or 12.9%, to $629.0 million for the year ended December 31, 2024 from $721.8 million in 2023. The decrease was due to $66.3 million in lower volume and mix partially offset by the impact of the ITU acquisition and $30.6 million in lower pass-through chassis costs, partially offset by $4.1 million in higher manufacturing and other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Gross Profit</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Gross profit increased by $6.8 million, or 4.5%, to $157.2 million in 2024 from $150.4 million in 2023. The increase was due to $10.9 million in favorable mix on lower volume including contributions from the ITU acquisition, partially offset by $4.1 million in higher manufacturing and other costs. Gross margin increased to 20.0% in 2024 from 17.2% over 2023 due to the items mentioned above.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Operating Expenses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Operating expenses for the year ended December 31, 2024 increased by $9.5 million, or 6.6%, to $153.1 million from $143.6 million in 2023. Research and development expense decreased $8.9 million in 2024 primarily related to EV development initiatives as the program moved into production. Selling, general and administrative expense increased by $18.4 million, or 15.5%, to $136.8 million in 2024 from $118.4 million in 2023 primarily driven by $4.7 million related to the ITU acquisition and associated costs, $8.3 million of professional services cost relating to the impending merger transaction with Aebi Schmidt, increase in environmental reserves and other employee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Other Income and Expense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Interest expense for the year ended December 31, 2024 increased by $2.0 million to $8.5 million from $6.5 million in 2023. The increase was due to additional borrowings and higher borrowing costs on our variable rate debt. Other income was $2.2 million, due to insurance proceeds received, for the year ended December 31, 2024 compared to $0.5 million for the year ended December 31, 2023.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auto"/>
        </w:rPr>
        <w:t>Income Tax Expense (Benefit)</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Income tax expense (benefit) from continuing operations for the year ended December 31, 2024 was an expense of $0.6 million as compared to the prior year benefit of ($5.8) million. The year-over-year change was mainly due to a $1.7 million reduction in the benefit for research and development credits, a $1.2 million tax expense for stock compensation that vested at a value below the issue price, and a $2.5 million benefit in 2023 related to reductions in unrecognized tax benefits.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Net income (loss)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Net income (loss) for the year ended December 31, 2024 decreased by $9.3 million, or 143.0%, to a loss of ($2.8) million compared to net income of $6.5 million in 2023. Diluted earnings (loss) per share decreased $0.27 to ($0.08) in 2024 compared to $0.19 per share in 2023. Driving this decrease were the factors noted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Segments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Form 10-K presents Adjusted EBITDA (earnings before interest, taxes, depreciation and amortization), which is a non-GAAP financial measure when presented on a consolidated basis. This non-GAAP measure is calculated by excluding items that we believe to be infrequent or not indicative of our underlying operating performance, as well as certain non-cash expenses. We define Adjusted EBITDA as income (loss) from continuing operations before interest, income taxes, depreciation and amortization, as adjusted to eliminate the impact of restructuring charges, transaction related expenses and adjustments, non-cash stock-based compensation expenses, and other gains and losses not reflective of our ongoing operations.</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reconciles Net income (loss) to Adjusted EBITDA for the periods indicated.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6"/>
        </w:trPr>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Year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Year Ended</w:t>
            </w:r>
          </w:p>
        </w:tc>
      </w:tr>
      <w:tr>
        <w:trPr>
          <w:trHeight w:val="170"/>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December 31,</w:t>
            </w:r>
          </w:p>
        </w:tc>
      </w:tr>
      <w:tr>
        <w:trPr>
          <w:trHeight w:val="184"/>
        </w:trPr>
        <w:tc>
          <w:tcPr>
            <w:tcW w:w="7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r>
      <w:tr>
        <w:trPr>
          <w:trHeight w:val="161"/>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(2,795)</w:t>
            </w:r>
          </w:p>
        </w:tc>
        <w:tc>
          <w:tcPr>
            <w:tcW w:w="3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6,464</w:t>
            </w:r>
          </w:p>
        </w:tc>
      </w:tr>
      <w:tr>
        <w:trPr>
          <w:trHeight w:val="170"/>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r>
      <w:tr>
        <w:trPr>
          <w:trHeight w:val="17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6,527</w:t>
            </w:r>
          </w:p>
        </w:tc>
      </w:tr>
      <w:tr>
        <w:trPr>
          <w:trHeight w:val="170"/>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(5,768)</w:t>
            </w:r>
          </w:p>
        </w:tc>
      </w:tr>
      <w:tr>
        <w:trPr>
          <w:trHeight w:val="17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16,953</w:t>
            </w:r>
          </w:p>
        </w:tc>
      </w:tr>
      <w:tr>
        <w:trPr>
          <w:trHeight w:val="170"/>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1,741</w:t>
            </w:r>
          </w:p>
        </w:tc>
      </w:tr>
      <w:tr>
        <w:trPr>
          <w:trHeight w:val="17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related expenses and adjustments</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440</w:t>
            </w:r>
          </w:p>
        </w:tc>
      </w:tr>
      <w:tr>
        <w:trPr>
          <w:trHeight w:val="170"/>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7,834</w:t>
            </w:r>
          </w:p>
        </w:tc>
      </w:tr>
      <w:tr>
        <w:trPr>
          <w:trHeight w:val="17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write-off of assets</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1,872</w:t>
            </w:r>
          </w:p>
        </w:tc>
      </w:tr>
      <w:tr>
        <w:trPr>
          <w:trHeight w:val="170"/>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Legacy legal matters</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956</w:t>
            </w:r>
          </w:p>
        </w:tc>
      </w:tr>
      <w:tr>
        <w:trPr>
          <w:trHeight w:val="17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Non-recurring professional fees</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288</w:t>
            </w:r>
          </w:p>
        </w:tc>
      </w:tr>
      <w:tr>
        <w:trPr>
          <w:trHeight w:val="181"/>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CEO transition</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2,629</w:t>
            </w:r>
          </w:p>
        </w:tc>
      </w:tr>
      <w:tr>
        <w:trPr>
          <w:trHeight w:val="17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from insurance settlement</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4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48,848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39,968</w:t>
            </w:r>
          </w:p>
        </w:tc>
      </w:tr>
      <w:tr>
        <w:trPr>
          <w:trHeight w:val="20"/>
        </w:trPr>
        <w:tc>
          <w:tcPr>
            <w:tcW w:w="7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FVS segment focuses on designing and manufacturing walk-in vans for the parcel delivery, mobile retail, and trades and construction industries; the production of commercial truck bodies, upfit services, and supply of related aftermarket parts and services under the Utilimaster brand name.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35" w:name="page36"/>
    <w:bookmarkEnd w:id="35"/>
    <w:p>
      <w:pPr>
        <w:jc w:val="both"/>
        <w:spacing w:after="0" w:line="287" w:lineRule="auto"/>
        <w:rPr>
          <w:sz w:val="20"/>
          <w:szCs w:val="20"/>
          <w:color w:val="auto"/>
        </w:rPr>
      </w:pPr>
      <w:r>
        <w:rPr>
          <w:rFonts w:ascii="Times New Roman" w:cs="Times New Roman" w:eastAsia="Times New Roman" w:hAnsi="Times New Roman"/>
          <w:sz w:val="14"/>
          <w:szCs w:val="14"/>
          <w:color w:val="auto"/>
        </w:rPr>
        <w:t>Our SV segment consists of service bodies and upfit operations, operations that engineer and manufacture motorhome chassis, other specialty chassis and distribution of related aftermarket parts and assemblies. We also provide vocation-specific equipment upfit services, which are marketed and sold under the Strobes-R-Us brand.</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The accounting policies of the segments are the same as those described, or referred to, in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Note 1 – </w:t>
      </w:r>
      <w:r>
        <w:rPr>
          <w:rFonts w:ascii="Times New Roman" w:cs="Times New Roman" w:eastAsia="Times New Roman" w:hAnsi="Times New Roman"/>
          <w:sz w:val="14"/>
          <w:szCs w:val="14"/>
          <w:i w:val="1"/>
          <w:iCs w:val="1"/>
          <w:color w:val="auto"/>
        </w:rPr>
        <w:t>Nature of Operations and Basis of Presentation.”</w:t>
      </w:r>
      <w:r>
        <w:rPr>
          <w:rFonts w:ascii="Times New Roman" w:cs="Times New Roman" w:eastAsia="Times New Roman" w:hAnsi="Times New Roman"/>
          <w:sz w:val="14"/>
          <w:szCs w:val="14"/>
          <w:color w:val="auto"/>
        </w:rPr>
        <w:t xml:space="preserve"> Interest expense and Taxes on income are not included in the information utilized by the chief operating decision maker to assess segment performance and allocate resources, and accordingly, are excluded from the segment results presented below. Appropriate expense amounts are allocated to the two reportable segments and are included in their reported operating income or loss.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certain financial information related to each segment,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Note 16 – </w:t>
      </w:r>
      <w:r>
        <w:rPr>
          <w:rFonts w:ascii="Times New Roman" w:cs="Times New Roman" w:eastAsia="Times New Roman" w:hAnsi="Times New Roman"/>
          <w:sz w:val="14"/>
          <w:szCs w:val="14"/>
          <w:i w:val="1"/>
          <w:iCs w:val="1"/>
          <w:color w:val="auto"/>
        </w:rPr>
        <w:t>Business Segments”</w:t>
      </w:r>
      <w:r>
        <w:rPr>
          <w:rFonts w:ascii="Times New Roman" w:cs="Times New Roman" w:eastAsia="Times New Roman" w:hAnsi="Times New Roman"/>
          <w:sz w:val="14"/>
          <w:szCs w:val="14"/>
          <w:color w:val="auto"/>
        </w:rPr>
        <w:t xml:space="preserve"> of the Notes to Consolidated Financial Statements appearing in Item 8 of this Form 10-K.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Fleet Vehicles and Services</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Segment Financial Data</w:t>
            </w: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4"/>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434,193</w:t>
            </w:r>
          </w:p>
        </w:tc>
        <w:tc>
          <w:tcPr>
            <w:tcW w:w="2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104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6"/>
              </w:rPr>
              <w:t>541,638</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0"/>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31,188</w:t>
            </w:r>
          </w:p>
        </w:tc>
        <w:tc>
          <w:tcPr>
            <w:tcW w:w="20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1040" w:type="dxa"/>
            <w:vAlign w:val="bottom"/>
            <w:gridSpan w:val="2"/>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30,326</w:t>
            </w: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assets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201,544</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6"/>
              </w:rPr>
              <w:t>241,546</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in our FVS segment decreased by $107.4 million, or 19.8%, to $434.2 million in 2024 from $541.6 million in 2023. This decrease was primarily attributable to a sales volume decrease due to softening in the walk-in-van markets and lower pass-through chassis sales, partially offset by higher upfit volume.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Adjusted EBITDA in our FVS segment was $31.2 million for the year ended December 31, 2024, an increase of $0.9 million compared to $30.3 million for the year ended December 31, 2023. This increase was primarily attributable to $10.9 million favorable mix and $1.1 million higher productivity net of material, labor costs and other costs, partially offset by $11.1 million in lower volume.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FVS segment assets decreased $36.8 million primarily attributable to a $28.7 million decrease in inventories and contract assets driven by decreased sales and the completion of in-process orders, partially offset by a $3.0 million increase in accounts receivable.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Order backlog for our FVS segment decreased by $80.2 million, or 24.7%, to $244.8 million at December 31, 2024 compared to $325.0 million at December 31, 2023. This decrease was primarily due to softer parcel delivery vehicle demand. Our backlog enables visibility into future sales which can normally range from two to twelve months depending on the product.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Specialty Vehicles</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 Financial Data</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4"/>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347,888</w:t>
            </w:r>
          </w:p>
        </w:tc>
        <w:tc>
          <w:tcPr>
            <w:tcW w:w="2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104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6"/>
              </w:rPr>
              <w:t>334,743</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0"/>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67,290</w:t>
            </w:r>
          </w:p>
        </w:tc>
        <w:tc>
          <w:tcPr>
            <w:tcW w:w="20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19.3%</w:t>
            </w:r>
          </w:p>
        </w:tc>
        <w:tc>
          <w:tcPr>
            <w:tcW w:w="1040" w:type="dxa"/>
            <w:vAlign w:val="bottom"/>
            <w:gridSpan w:val="2"/>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66,186</w:t>
            </w: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7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assets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274,337</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6"/>
              </w:rPr>
              <w:t>213,509</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in our SV segment increased by $13.2 million or 3.9%, to $347.9 million in 2024 compared to $334.7 million in 2023. This increase was primarily attributable higher service body sales including the impact of the ITU acquisition, partially offset by lower motorhome chassis market demand and a decline in other specialty vehicle sales.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Adjusted EBITDA for our SV segment was $67.3 million for the year ended December 31, 2024, an increase of $1.1 million compared to $66.2 million for the year ended December 31, 2023. This increase was primarily attributable to $4.9 million of favorable pricing and mix, $1.0 million higher volume including the impact of the ITU acquisition, partially offset by $4.8 million of higher manufacturing and other costs.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36" w:name="page37"/>
    <w:bookmarkEnd w:id="36"/>
    <w:p>
      <w:pPr>
        <w:jc w:val="both"/>
        <w:spacing w:after="0" w:line="270" w:lineRule="auto"/>
        <w:rPr>
          <w:sz w:val="20"/>
          <w:szCs w:val="20"/>
          <w:color w:val="auto"/>
        </w:rPr>
      </w:pPr>
      <w:r>
        <w:rPr>
          <w:rFonts w:ascii="Times New Roman" w:cs="Times New Roman" w:eastAsia="Times New Roman" w:hAnsi="Times New Roman"/>
          <w:sz w:val="14"/>
          <w:szCs w:val="14"/>
          <w:color w:val="auto"/>
        </w:rPr>
        <w:t>SV segment assets increased $60.9 million primarily attributable to a $ 15.2 million increase in goodwill and $14.0 million increase in intangible assets driven by the ITU acquisition, a $16.3 million increase in accounts receivable and contract assets and a $7.9 million increase in inventories driven by higher volume and the timing of raw material and component purchases as well as the completion of orders.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Order backlog for our SV segment decreased by $15.8 million, or 18.8%, to $68.5 million at December 31, 2024 compared to $84.3 million at December 31, 2023. This decrease was due to lower motorhome orders, partially offset by the impact of the ITU acquisition. Our backlog enables visibility into future sales which can normally range from less than one month to twelve months depending on the product.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Flows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cash flows from operating, investing and financing activities, as reflected in the Consolidated Statements of Cash Flows appearing in Item 8 of this Form 10-K, are summarized in the following table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624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provided by (used in):</w:t>
            </w:r>
          </w:p>
        </w:tc>
        <w:tc>
          <w:tcPr>
            <w:tcW w:w="10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1000" w:type="dxa"/>
            <w:vAlign w:val="bottom"/>
          </w:tcPr>
          <w:p>
            <w:pPr>
              <w:jc w:val="right"/>
              <w:ind w:right="87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30,056</w:t>
            </w:r>
          </w:p>
        </w:tc>
        <w:tc>
          <w:tcPr>
            <w:tcW w:w="10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56,244</w:t>
            </w:r>
          </w:p>
        </w:tc>
      </w:tr>
      <w:tr>
        <w:trPr>
          <w:trHeight w:val="17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10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(61,197)</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(21,114)</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10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36,964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(36,721)</w:t>
            </w:r>
          </w:p>
        </w:tc>
      </w:tr>
      <w:tr>
        <w:trPr>
          <w:trHeight w:val="20"/>
        </w:trPr>
        <w:tc>
          <w:tcPr>
            <w:tcW w:w="6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0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5,823</w:t>
            </w:r>
          </w:p>
        </w:tc>
        <w:tc>
          <w:tcPr>
            <w:tcW w:w="10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(1,591)</w:t>
            </w:r>
          </w:p>
        </w:tc>
      </w:tr>
      <w:tr>
        <w:trPr>
          <w:trHeight w:val="20"/>
        </w:trPr>
        <w:tc>
          <w:tcPr>
            <w:tcW w:w="6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2024, cash and cash equivalents increased by $5.8 million to a balance of $15.8 million as of December 31, 2024. These funds, in addition to cash generated from future operations and available credit facilities, are expected to be sufficient to finance our foreseeable liquidity and capital needs, including potential future acquisitions.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 from Operating Activities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generated $30.1 million of cash from operating activities during the year ended December 31, 2024, a decrease in cash provided of $26.1 million from $56.2 million of cash provided by operating activities during the year ended December 31, 2023. The $30.1 million of cash generated in 2024 was driven by a $22.2 million net inflow related to income adjusted for non-cash charges to operations and a $7.9 million net inflow related to the change in net working capital. The change in working capital in 2024 was driven by a $17.4 million inflow related to decreased receivables and contract assets and inventories primarily attributable to the completion of in process vehicles, partially offset by a $6.7 million outflow related to decreased payables primarily attributable to timing of payments within the period and a $2.8 million net outflow related to a net increase in remaining other assets and liabilities, including accrued compensation and warranty.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 from Investing Activities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used $61.2 million in investing activities during the year ended December 31, 2024, a $40.1 million increase compared to the $21.1 million used during the year ended December 31, 2023. The increase in cash used in investing activities is primarily attributable to $47.1 million increase in acquisition of businesses, partially offset by $7.0 million of decreased capital expenditures.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 from Financing Activities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generated $37.0 million of cash through financing activities during the year ended December 31, 2024, compared to $36.7 million used during the year ended December 31, 2023. The $73.7 million increase in cash generated by financing activities is primarily attributable to $51.0 million of decreased repayments on long-term debt net of borrowings and $19.0 million of decreased purchase and retirement of common stock and $3.5 million of decreased exercise and vesting of stock incentive awards.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auto"/>
        </w:rPr>
        <w:t>Effect of Inflation</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Inflation affects us in two principal ways. First, our revolving credit facility is generally tied to the prime and Secured Overnight Financing Rate ("SOFR") interest rates so that increases in those interest rates would be translated into additional interest expense. Second, general inflation impacts prices paid for labor, parts and supplies. Whenever possible, we attempt to cover increased costs of production and capital by adjusting the sales prices of our products. However, we generally do not attempt to negotiate inflation-based price adjustment provisions into our contracts. We have limited ability to pass on cost increases to our customers on a short-term basis. In addition, the markets we serve are competitive in nature, and competition limits our ability to pass through cost increases in many cases. We strive to minimize the effect of inflation through cost reductions and improved productivity. Refer to the Commodities Risk section in Item 7A of this Form 10-K for further information regarding commodity cost fluctuations.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Contingent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 Relating to Environmental Matters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previously disclosed, in May 2020, the Company received an information request from the United States Environmental Protection Agency (“EPA”) requesting certain information regarding emissions labels on chassis, vocational vehicles, and vehicles that the Company manufactured or imported into the U.S. between January 1, 2017 to the date the Company received the request in May 2020. The Company responded to the EPA’s request and furnished the requested materials in the third quarter of 2020.</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6, 2022, the Company received a Notice of Violation from the EPA alleging a failure to secure certain certifications on manufactured chassis and a failure to comply with recordkeeping and reporting requirements related to supplier-provided chassis.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September 27, 2024, the Company received the final approval from the EPA to settle this matter for $2.0 million. We paid the settlement in full in October of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Debt</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30, 2021, we entered into an Amended and Restated Credit Agreement (the "Credit Agreement") by and among us and certain of our subsidiaries as borrowers, Wells Fargo Bank, N.A., as administrative agent, and the lenders party thereto consisting of Wells Fargo, N.A., JPMorgan Chase Bank, N.A., PNC Bank, N.A. and Bank of America, N.A. (the "Lenders"). Certain of our other subsidiaries have executed guaranties guarantying the borrowers' obligations under the Credit Agreement.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27, 2024, we entered into the Second Amendment to Amended and Restated Credit Agreement (the “Credit Agreement”). The Credit Agreement, among other things, (i) reduced the revolving credit commitments from $400.0 million to $300.0 million, (ii) increased the applicable margin for term Secured Overnight Financing Rate ("SOFR") loans and base rate loans, (iii) adjusted the calculation of debt for purposes of determining the leverage ratio and (iv) temporarily increased the maximum leverage ratio through June 30, 2024.</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Credit Agreement, we may borrow up to $300.0 million from the Lenders under a secured revolving credit facility which matures November 30, 2026. We may also request an increase in the facility of up to $200.0 million in the aggregate, subject to customary conditions. The revolving credit facility is also available for the issuance of letters of credit of up to $20.0 million and swing line loans of up to $10.0 million, subject to certain limitations and restrictions. The revolving credit facility carries an interest rate of either (i) the highest of prime rate, the federal funds effective rate from time to time plus 0.5%, or the one month adjusted SOFR including a credit spread adjustment plus 2.0%; or (ii) adjusted SOFR, in each case plus a margin based upon our ratio of debt to earnings from time to time. The applicable borrowing rate including the margin was 6.2% (or one-month SOFR including a credit spread adjustment plus 1.75%) at December 31, 2024. The revolving credit facility is secured by security interests in, and liens on, all assets of the borrowers and guarantors, other than real property and certain other excluded assets. At December 31, 2024 and December 31, 2023, we had outstanding letters of credit totaling $1.9 million and $1.6 million, respectively, related to our workers’ compensation insurance.</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terms of our Credit Agreement, available borrowings (exclusive of outstanding borrowings) totaled $78.0 million and $83.2 million at December 31, 2024 and December 31, 2023,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Our net leverage ratio limits available borrowings. At December 31, 2024 and December 31, 2023, we were in compliance with all covenants in our Credit Agreement.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auto"/>
        </w:rPr>
        <w:t>Material Cash Requirements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party to contractual obligations involving commitments to make payments to third parties, and such commitments require a material amount of cash. As part of our normal course of business, we enter into contracts with suppliers for purchases of certain raw materials, components, and services to facilitate adequate supply of these materials and services. These arrangements may contain fixed or minimum quantity purchase requirements.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current cash position, available borrowing capacity on our credit facilities, and the cash flows we expect to generate from continuing operations are expected to be sufficient to finance our operating and capital needs, including day to day operations, capital expenditures, research and development, investments in information technology systems, dividends and potential future acquisitions, for at least the next twelve months and the foreseeable future thereafter.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Our future contractual obligations, as described above, are summarized below.</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0"/>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color w:val="auto"/>
              </w:rPr>
              <w:t>Payments Due by Period (in thousands)</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color w:val="auto"/>
              </w:rPr>
              <w:t>Less than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color w:val="auto"/>
              </w:rPr>
              <w:t>More than</w:t>
            </w:r>
          </w:p>
        </w:tc>
        <w:tc>
          <w:tcPr>
            <w:tcW w:w="100" w:type="dxa"/>
            <w:vAlign w:val="bottom"/>
          </w:tcPr>
          <w:p>
            <w:pPr>
              <w:spacing w:after="0"/>
              <w:rPr>
                <w:sz w:val="12"/>
                <w:szCs w:val="12"/>
                <w:color w:val="auto"/>
              </w:rPr>
            </w:pPr>
          </w:p>
        </w:tc>
      </w:tr>
      <w:tr>
        <w:trPr>
          <w:trHeight w:val="184"/>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1 Year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1-3 Years</w:t>
            </w:r>
          </w:p>
        </w:tc>
        <w:tc>
          <w:tcPr>
            <w:tcW w:w="280" w:type="dxa"/>
            <w:vAlign w:val="bottom"/>
          </w:tcPr>
          <w:p>
            <w:pPr>
              <w:spacing w:after="0"/>
              <w:rPr>
                <w:sz w:val="16"/>
                <w:szCs w:val="16"/>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w w:val="94"/>
              </w:rPr>
              <w:t>4-5 Years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5 Years</w:t>
            </w:r>
          </w:p>
        </w:tc>
      </w:t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5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 xml:space="preserve">Debt </w:t>
            </w:r>
            <w:r>
              <w:rPr>
                <w:rFonts w:ascii="Times New Roman" w:cs="Times New Roman" w:eastAsia="Times New Roman" w:hAnsi="Times New Roman"/>
                <w:sz w:val="19"/>
                <w:szCs w:val="19"/>
                <w:color w:val="auto"/>
                <w:vertAlign w:val="superscript"/>
              </w:rPr>
              <w:t>(1)</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106,289</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100,399</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48,226</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15,336</w:t>
            </w:r>
          </w:p>
        </w:tc>
        <w:tc>
          <w:tcPr>
            <w:tcW w:w="2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8,762</w:t>
            </w: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13,204</w:t>
            </w: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154,515</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16,814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115,735</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8,762</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13,204</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5" w:lineRule="exact"/>
        <w:rPr>
          <w:sz w:val="20"/>
          <w:szCs w:val="20"/>
          <w:color w:val="auto"/>
        </w:rPr>
      </w:pPr>
    </w:p>
    <w:p>
      <w:pPr>
        <w:jc w:val="both"/>
        <w:ind w:left="140" w:hanging="137"/>
        <w:spacing w:after="0" w:line="19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Debt includes revolving credit facility estimated interest payments and payments on finance leases. The interest payments on the related variable rate debt were calculated using the effective interest rate of 6.2% at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Securities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February 22, 2022, we announced that our Board of Directors had authorized the repurchase of up to $250.0 million of our common stock. The repurchase authorization does not have an expiration date. We believe that we have sufficient resources to fund any potential stock buyback in which we may engage over the long-term, although we are currently restricted from repurchasing our common stock under the terms of the Merger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paid dividends on our outstanding common shares in 2024 and 2023 as shown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Date dividend</w:t>
            </w: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Dividend per</w:t>
            </w:r>
          </w:p>
        </w:tc>
      </w:tr>
      <w:tr>
        <w:trPr>
          <w:trHeight w:val="184"/>
        </w:trPr>
        <w:tc>
          <w:tcPr>
            <w:tcW w:w="2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declared</w:t>
            </w:r>
          </w:p>
        </w:tc>
        <w:tc>
          <w:tcPr>
            <w:tcW w:w="100" w:type="dxa"/>
            <w:vAlign w:val="bottom"/>
          </w:tcPr>
          <w:p>
            <w:pPr>
              <w:spacing w:after="0"/>
              <w:rPr>
                <w:sz w:val="16"/>
                <w:szCs w:val="16"/>
                <w:color w:val="auto"/>
              </w:rPr>
            </w:pPr>
          </w:p>
        </w:tc>
        <w:tc>
          <w:tcPr>
            <w:tcW w:w="2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Record date</w:t>
            </w:r>
          </w:p>
        </w:tc>
        <w:tc>
          <w:tcPr>
            <w:tcW w:w="100" w:type="dxa"/>
            <w:vAlign w:val="bottom"/>
          </w:tcPr>
          <w:p>
            <w:pPr>
              <w:spacing w:after="0"/>
              <w:rPr>
                <w:sz w:val="16"/>
                <w:szCs w:val="16"/>
                <w:color w:val="auto"/>
              </w:rPr>
            </w:pPr>
          </w:p>
        </w:tc>
        <w:tc>
          <w:tcPr>
            <w:tcW w:w="2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Payment date</w:t>
            </w:r>
          </w:p>
        </w:tc>
        <w:tc>
          <w:tcPr>
            <w:tcW w:w="80" w:type="dxa"/>
            <w:vAlign w:val="bottom"/>
          </w:tcPr>
          <w:p>
            <w:pPr>
              <w:spacing w:after="0"/>
              <w:rPr>
                <w:sz w:val="16"/>
                <w:szCs w:val="16"/>
                <w:color w:val="auto"/>
              </w:rPr>
            </w:pPr>
          </w:p>
        </w:tc>
        <w:tc>
          <w:tcPr>
            <w:tcW w:w="16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share ($)</w:t>
            </w:r>
          </w:p>
        </w:tc>
        <w:tc>
          <w:tcPr>
            <w:tcW w:w="100" w:type="dxa"/>
            <w:vAlign w:val="bottom"/>
          </w:tcPr>
          <w:p>
            <w:pPr>
              <w:spacing w:after="0"/>
              <w:rPr>
                <w:sz w:val="16"/>
                <w:szCs w:val="16"/>
                <w:color w:val="auto"/>
              </w:rPr>
            </w:pPr>
          </w:p>
        </w:tc>
      </w:tr>
      <w:tr>
        <w:trPr>
          <w:trHeight w:val="16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Oct. 30, 2024</w:t>
            </w:r>
          </w:p>
        </w:tc>
        <w:tc>
          <w:tcPr>
            <w:tcW w:w="10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Nov. 15, 2024</w:t>
            </w:r>
          </w:p>
        </w:tc>
        <w:tc>
          <w:tcPr>
            <w:tcW w:w="1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 16, 2024</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0.05</w:t>
            </w:r>
          </w:p>
        </w:tc>
      </w:tr>
      <w:tr>
        <w:trPr>
          <w:trHeight w:val="170"/>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Aug. 2, 2024</w:t>
            </w:r>
          </w:p>
        </w:tc>
        <w:tc>
          <w:tcPr>
            <w:tcW w:w="10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Aug. 16, 2024</w:t>
            </w:r>
          </w:p>
        </w:tc>
        <w:tc>
          <w:tcPr>
            <w:tcW w:w="10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Sep. 16, 2024</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0.05</w:t>
            </w:r>
          </w:p>
        </w:tc>
      </w:tr>
      <w:tr>
        <w:trPr>
          <w:trHeight w:val="17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3, 2024</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17, 2024</w:t>
            </w: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 17, 2024</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0.05</w:t>
            </w:r>
          </w:p>
        </w:tc>
      </w:tr>
      <w:tr>
        <w:trPr>
          <w:trHeight w:val="170"/>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Feb. 1, 2024</w:t>
            </w:r>
          </w:p>
        </w:tc>
        <w:tc>
          <w:tcPr>
            <w:tcW w:w="10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Feb. 16, 2024</w:t>
            </w:r>
          </w:p>
        </w:tc>
        <w:tc>
          <w:tcPr>
            <w:tcW w:w="10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Mar. 18, 2024</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0.05</w:t>
            </w:r>
          </w:p>
        </w:tc>
      </w:tr>
      <w:tr>
        <w:trPr>
          <w:trHeight w:val="17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Oct. 31, 2023</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Nov. 16, 2023</w:t>
            </w: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 15, 2023</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0.05</w:t>
            </w:r>
          </w:p>
        </w:tc>
      </w:tr>
      <w:tr>
        <w:trPr>
          <w:trHeight w:val="170"/>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Aug. 2, 2023</w:t>
            </w:r>
          </w:p>
        </w:tc>
        <w:tc>
          <w:tcPr>
            <w:tcW w:w="10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Aug. 17, 2023</w:t>
            </w:r>
          </w:p>
        </w:tc>
        <w:tc>
          <w:tcPr>
            <w:tcW w:w="10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Sep. 18, 2023</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0.05</w:t>
            </w:r>
          </w:p>
        </w:tc>
      </w:tr>
      <w:tr>
        <w:trPr>
          <w:trHeight w:val="17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2, 2023</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17, 2023</w:t>
            </w: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 20, 2023</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0.05</w:t>
            </w:r>
          </w:p>
        </w:tc>
      </w:tr>
      <w:tr>
        <w:trPr>
          <w:trHeight w:val="18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Jan. 31, 2023</w:t>
            </w:r>
          </w:p>
        </w:tc>
        <w:tc>
          <w:tcPr>
            <w:tcW w:w="10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Feb. 17, 2023</w:t>
            </w:r>
          </w:p>
        </w:tc>
        <w:tc>
          <w:tcPr>
            <w:tcW w:w="10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Mar. 17, 2023</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0.05</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The following discussion of critical accounting policies and estimates is intended to supplement “Note 1 – </w:t>
      </w:r>
      <w:r>
        <w:rPr>
          <w:rFonts w:ascii="Times New Roman" w:cs="Times New Roman" w:eastAsia="Times New Roman" w:hAnsi="Times New Roman"/>
          <w:sz w:val="14"/>
          <w:szCs w:val="14"/>
          <w:i w:val="1"/>
          <w:iCs w:val="1"/>
          <w:color w:val="auto"/>
        </w:rPr>
        <w:t>Nature of Operations and Basis of Presentation</w:t>
      </w:r>
      <w:r>
        <w:rPr>
          <w:rFonts w:ascii="Times New Roman" w:cs="Times New Roman" w:eastAsia="Times New Roman" w:hAnsi="Times New Roman"/>
          <w:sz w:val="14"/>
          <w:szCs w:val="14"/>
          <w:color w:val="auto"/>
        </w:rPr>
        <w:t>” of the Notes to Consolidated Financial Statements appearing in Item 8 of this Form 10-K. These policies were selected because they are broadly applicable within our operating units and they involve additional management judgment due to the sensitivity of the methods, assumptions and estimates necessary in determining the related statement of income, asset and/or liability amounts.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auto"/>
        </w:rPr>
        <w:t>Revenue Recognition</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 significant variable consideration. The collectability of consideration on the contract is reasonably assured before revenue is recognized. On certain vehicles, payment may be received in advance of us satisfying our performance obligations. Such payments are recorded in Contract liabilities on the Consolidated Balance Sheets. The corresponding performance obligations are generally satisfied within one year of the contract inception. 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for parts sales for both segments is recognized at the time that control and risk of ownership has passed to the customer, which is generally, when the ordered part is shipped to the customer.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Historical return rates on parts sales have been immaterial.</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for upfit and field service contracts and walk-in vans and truck bodies built on a chassis owned and controlled by the customer is recognized over time, as equipment is installed in the customer’s vehicle, repairs and enhancements are made to the customer’s vehicles, or as the vehicles are built.</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Business Combinations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When acquiring other businesses, we recognize identifiable assets acquired and liabilities assumed at their acquisition date estimated fair values, and separately from any goodwill that may be required to be recognized. Goodwill, when recognizable, is measured as the excess amount of any consideration transferred, which is measured at fair value, over the acquisition date fair values of the identifiable assets acquired and liabilities assumed.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determine the estimated fair values using information available to us and engage independent third-party valuation specialists when necessary. Accounting for such acquisitions requires us to make significant assumptions and estimates, typically regarding projections of sales, cash flows, and discount rates. These significant assumptions and estimates are adjusted during the measurement period for a period of up to one year after the acquisition date. Costs incurred to effect an acquisition, such as legal, accounting, valuation or other third-party costs, as well as internal general and administrative costs incurred are charged to expense in the periods incurred.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Goodwill and Other Indefinite-Lived Intangible Assets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accordance with authoritative guidance on goodwill and other indefinite-lived intangible assets, such assets are tested for impairment at least annually, and written down when and to the extent impaired. We perform our annual impairment test for goodwill and indefinite-lived intangible assets as of October 1 of each year, or more frequently if an event occurs or conditions change that would more likely than not reduce the fair value of the asset below its carrying value.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40" w:name="page41"/>
    <w:bookmarkEnd w:id="40"/>
    <w:p>
      <w:pPr>
        <w:ind w:right="40"/>
        <w:spacing w:after="0" w:line="260" w:lineRule="auto"/>
        <w:rPr>
          <w:sz w:val="20"/>
          <w:szCs w:val="20"/>
          <w:color w:val="auto"/>
        </w:rPr>
      </w:pPr>
      <w:r>
        <w:rPr>
          <w:rFonts w:ascii="Times New Roman" w:cs="Times New Roman" w:eastAsia="Times New Roman" w:hAnsi="Times New Roman"/>
          <w:sz w:val="14"/>
          <w:szCs w:val="14"/>
          <w:color w:val="auto"/>
        </w:rPr>
        <w:t>We estimate the fair value of acquired intangible assets using various valuation techniques. The primary valuation techniques used include forms of the income approach, specifically the relief-from-royalty and multi-period excess earnings valuation methods. Under these valuation approaches, we are required to make estimates and assumptions from a market participant perspective, which may include revenue growth rates, estimated earnings, royalty rates, contributory asset charges, customer attrition and discount rates. Under the multi-period excess earnings method, value is estimated as the present value of the benefits anticipated from ownership of the asset, in excess of the returns required on the investment in contributory assets that are necessary to realize those benefits. The intangible asset’s estimated earnings are determined as the residual earnings after quantifying estimated earnings from contributory assets. Under the relief-from-royalty method, we calculate the cost savings associated with owning rather than licensing the assets. Assumed royalty rates are applied to projected revenue for the remaining useful lives of the assets to estimate the royalty savings.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October 1, 2024, the most recent annual goodwill impairment assessment date, two reporting units were determined for goodwill impairment testing: Fleet Vehicles and Services and Specialty Vehicles. We performed a quantitative impairment test by comparing the fair value of each reporting unit with its carrying amount, including goodwill and concluded no risk of impairment for both reporting units.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first assess qualitative factors including, but not limited to, macroeconomic conditions, industry conditions, the competitive environment, changes in the market for our products and current and forecasted financial performance to determine whether it is more likely than not that the fair value of a reporting unit is less than its carrying amount. If we determine that it is more likely than not that the fair value of the reporting unit is greater than its carrying amount, we are not required to calculate the fair value of a reporting unit. We have the option to bypass this qualitative assessment and proceed to a quantitative goodwill impairment assessment. If we elect to bypass the qualitative assessment, or if after completing the assessment it is determined to be more likely than not that the fair value of a reporting unit is less than its carrying value, we perform an impairment test by comparing the fair value of a reporting unit with its carrying amount, including goodwill.</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fair value, an impairment loss is recognized in an amount equal to the excess, up to the value of the goodwill.</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evaluate the recoverability of our indefinite lived intangible assets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revenue based on our plans for branded products, business trends, prospects and market and economic conditions.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Significant judgments inherent in these analyses include assumptions about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as a result of changing economic and competitive conditions. The determination of fair value is highly sensitive to differences between estimated and actual cash flows and changes in the related discount rate used to evaluate the fair value of the reporting units and trade name.</w:t>
      </w:r>
    </w:p>
    <w:p>
      <w:pPr>
        <w:spacing w:after="0" w:line="13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See “Note 5 </w:t>
      </w:r>
      <w:r>
        <w:rPr>
          <w:rFonts w:ascii="Times New Roman" w:cs="Times New Roman" w:eastAsia="Times New Roman" w:hAnsi="Times New Roman"/>
          <w:sz w:val="14"/>
          <w:szCs w:val="14"/>
          <w:i w:val="1"/>
          <w:iCs w:val="1"/>
          <w:color w:val="auto"/>
        </w:rPr>
        <w:t>– Goodwill and Intangible Assets</w:t>
      </w:r>
      <w:r>
        <w:rPr>
          <w:rFonts w:ascii="Times New Roman" w:cs="Times New Roman" w:eastAsia="Times New Roman" w:hAnsi="Times New Roman"/>
          <w:sz w:val="14"/>
          <w:szCs w:val="14"/>
          <w:color w:val="auto"/>
        </w:rPr>
        <w:t>” in the Notes to Consolidated Financial Statements appearing in Item 8 of this Form 10-K for further details on our goodwill and indefinite-lived intangible assets.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Warranties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policy is to record a provision for the estimated cost of warranty-related claims at the time of the sale, and periodically adjust the warranty liability to reflect actual experience. The amount of warranty liability accrued reflects actual historical warranty cost, which is accumulated on specific identifiable units. From that point, there is a projection of the expected future cost of honoring our obligations under the warranty agreements. Historically, the cost of fulfilling our warranty obligations has principally involved replacement parts and labor for field retrofit campaigns and recalls, which increase the reserve. Our estimates are based on historical experience, the number of units involved, and the extent of features and components included in product models. See “Note 10 –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in the Notes to Consolidated Financial Statements appearing in Item 8 of this Form 10-K for further information regarding warranties.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auto"/>
        </w:rPr>
        <w:t>Provision for Income Taxes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account for income taxes under a method that requires deferred income tax assets and liabilities to be recognized using enacted tax rates for the effect of temporary differences between the book and tax bases of recorded assets and liabilities. Authoritative guidance also requires deferred income tax assets, which include state tax credit carryforwards, operating loss carryforwards and deductible temporary differences, be reduced by a valuation allowance if it is more likely than not that some portion or all of the deferred income tax assets will not be realized.</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evaluate the likelihood of realizing our deferred income tax assets by assessing our valuation allowance and by adjusting the amount of such allowance, if necessary. The factors used to assess the likelihood of realization include our forecast of future taxable income, the projected reversal of temporary differences and available tax planning strategies that could be implemented to realize the net deferred income tax assets.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management believes the estimates are reasonable, no assurance can be given that the final outcome of these matters will not be different than what is reflected in the historical income tax provisions and accruals.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and penalties attributable to income taxes are recorded as a component of income taxes.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October 8, 2021, the OECD announced that members of the OECD/G20 Inclusive Framework on Base Erosion and Profit Shifting (the “Inclusive Framework”) agreed to a two-pillar solution to address the tax challenges associated with the digitalization of the economy. On December 20, 2021, the OECD released the Pillar Two model rules, which define the global minimum tax and call for the taxation of large corporations at a minimum rate of 15 percent. The OECD has since issued commentary and additional administrative guidance related to the Inclusive Framework agreement. The Company has evaluated the enacted legislation and concluded that it is not currently within the scope of Pillar Two. We will continue to monitor regulatory developments to assess potential impacts on our consolidated financial statements as additional guidance is released.”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and Pending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 – </w:t>
      </w:r>
      <w:r>
        <w:rPr>
          <w:rFonts w:ascii="Times New Roman" w:cs="Times New Roman" w:eastAsia="Times New Roman" w:hAnsi="Times New Roman"/>
          <w:sz w:val="14"/>
          <w:szCs w:val="14"/>
          <w:i w:val="1"/>
          <w:iCs w:val="1"/>
          <w:color w:val="auto"/>
        </w:rPr>
        <w:t>Nature of Operations and Basis of Presentation</w:t>
      </w:r>
      <w:r>
        <w:rPr>
          <w:rFonts w:ascii="Times New Roman" w:cs="Times New Roman" w:eastAsia="Times New Roman" w:hAnsi="Times New Roman"/>
          <w:sz w:val="14"/>
          <w:szCs w:val="14"/>
          <w:color w:val="auto"/>
        </w:rPr>
        <w:t>” in the Notes to Consolidated Financial Statements appearing in Item 8 of this Form 10-K.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42" w:name="page43"/>
    <w:bookmarkEnd w:id="42"/>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u w:val="single" w:color="auto"/>
          <w:color w:val="auto"/>
        </w:rPr>
        <w:t>Quantitative and Qualitative Disclosures About Market Risk</w:t>
      </w:r>
      <w:r>
        <w:rPr>
          <w:rFonts w:ascii="Times New Roman" w:cs="Times New Roman" w:eastAsia="Times New Roman" w:hAnsi="Times New Roman"/>
          <w:sz w:val="14"/>
          <w:szCs w:val="14"/>
          <w:b w:val="1"/>
          <w:b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Interest Rate Risk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exposed to market risks related to changes in interest rates and the effect of such a change on outstanding variable rate short-term and long-term debt. At December 31, 2024, we had $95.0 million debt outstanding under our revolving credit facility. An increase of 100 basis points in interest rates would result in $1.0 million of incremental interest expense on an annualized basis. We believe that we have sufficient financial resources to accommodate this hypothetical increase in interest rates. We do not enter into market-risk-sensitive instruments for trading or other purposes.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Commodities Risk</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are also exposed to changes in the prices of raw materials, primarily steel and aluminum, along with components that are made from these raw materials. We generally do not enter into derivative instruments for the purpose of managing exposures associated with fluctuations in steel and aluminum prices. We do, from time to time, engage in pre-buys of components that are impacted by changes in steel, aluminum and other commodity prices in order to mitigate our exposure to such price increases and align our costs with prices quoted in specific customer orders. We also actively manage our material supply sourcing and may employ various methods to limit risk associated with commodity cost fluctuations due to normal market conditions and other factors including tariffs. See Management’s Discussion and Analysis of Financial Condition and Results of Operations included in Part 1, Item 7 of this Form 10-K for information on the impacts of changes in input costs during the year ended December 31, 2024.</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do not believe that there has been a material change in the nature or categories of the primary market risk exposures or in the particular markets that present our primary risk of loss. As of the date of this report, we do not know of or expect any material changes in the general nature of our primary market risk exposure in the near term. In this discussion, “near term” means a period of one year following the date of the most recent balance sheet contained in this report.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Prevailing interest rates, interest rate relationships and commodity costs are primarily determined by market factors that are beyond our control. All information provided in response to this item consists of forward-looking statements. Reference is made to the section captioned “Forward-Looking Statements” before Part I of this Form 10-K for a discussion of the limitations on our responsibility for such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43" w:name="page44"/>
    <w:bookmarkEnd w:id="43"/>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and Supplementary Data</w:t>
      </w:r>
      <w:r>
        <w:rPr>
          <w:rFonts w:ascii="Times New Roman" w:cs="Times New Roman" w:eastAsia="Times New Roman" w:hAnsi="Times New Roman"/>
          <w:sz w:val="14"/>
          <w:szCs w:val="14"/>
          <w:b w:val="1"/>
          <w:b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The Shyft Group,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Opinions on the Financial Statements and Internal Control over Financial Reporting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The Shyft Group, Inc. and subsidiaries (the "Company") as of December 31, 2024 and 2023, the related consolidated statements of operations, shareholders' equity, and cash flows, for each of the three years in the period ended December 31, 2024, and the related notes and the schedule listed in the Index at Item 15 (collectively referred to as the "financial statements"). We also have audited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 (COSO).</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COSO.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Quantitative assessment of goodwill impairment – Refer to Notes 1 and 5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conducts its annual goodwill impairment test on October 1 of each year and monitors for interim triggering events on an ongoing basis. The fair value of the reporting unit is determined by estimating the future cash flows of the reporting unit to which the goodwill relates, and then discounting the future cash flows at a market-participant-derived weighted average cost of capital (“WACC”). The fair value estimates contain uncertainties as they require management to make assumptions including, but not limited to future cash flows of its reporting units and an appropriate WACC. The Company performed a quantitative assessment of goodwill assigned to the Fleet Vehicles and Services and Specialty Vehicles reporting units.</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goodwill balance was $64.1 million as of December 31, 2024, of which $15.3 million was allocated to the Fleet Vehicles and Services reporting unit (“FVS”) and $48.8 million was allocated to the Specialty Vehicles reporting unit (“SV”) (collectively referred to as the “reporting units”). The estimated fair value for both reporting units exceeded their carrying value.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Given the significant judgments made by management to estimate the fair value of the reporting units, performing audit procedures to evaluate the reasonableness of management’s assumptions related to future cash flows and WACC required a high degree of auditor judgment and an increased extent of effort, including the need to involve our fair value specialists.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future cash flows and WACC for the reporting units included the following, among others:</w:t>
      </w:r>
    </w:p>
    <w:p>
      <w:pPr>
        <w:spacing w:after="0" w:line="179" w:lineRule="exact"/>
        <w:rPr>
          <w:sz w:val="20"/>
          <w:szCs w:val="20"/>
          <w:color w:val="auto"/>
        </w:rPr>
      </w:pPr>
    </w:p>
    <w:p>
      <w:pPr>
        <w:ind w:left="220" w:hanging="88"/>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controls over the Company’s goodwill impairment test and determination of related assumptions, including those over future cash flows and WACC.</w:t>
      </w:r>
    </w:p>
    <w:p>
      <w:pPr>
        <w:spacing w:after="0" w:line="178" w:lineRule="exact"/>
        <w:rPr>
          <w:rFonts w:ascii="Times New Roman" w:cs="Times New Roman" w:eastAsia="Times New Roman" w:hAnsi="Times New Roman"/>
          <w:sz w:val="14"/>
          <w:szCs w:val="14"/>
          <w:color w:val="auto"/>
        </w:rPr>
      </w:pPr>
    </w:p>
    <w:p>
      <w:pPr>
        <w:ind w:left="220" w:hanging="88"/>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ability to forecast future cash flows by comparing actual reporting unit results to management’s historical forecasts.</w:t>
      </w:r>
    </w:p>
    <w:p>
      <w:pPr>
        <w:spacing w:after="0" w:line="178" w:lineRule="exact"/>
        <w:rPr>
          <w:rFonts w:ascii="Times New Roman" w:cs="Times New Roman" w:eastAsia="Times New Roman" w:hAnsi="Times New Roman"/>
          <w:sz w:val="14"/>
          <w:szCs w:val="14"/>
          <w:color w:val="auto"/>
        </w:rPr>
      </w:pPr>
    </w:p>
    <w:p>
      <w:pPr>
        <w:ind w:left="220" w:hanging="88"/>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reasonableness of management’s forecast of future cash flows by comparing the estimate of future cash flows to:</w:t>
      </w:r>
    </w:p>
    <w:p>
      <w:pPr>
        <w:spacing w:after="0" w:line="23" w:lineRule="exact"/>
        <w:rPr>
          <w:rFonts w:ascii="Times New Roman" w:cs="Times New Roman" w:eastAsia="Times New Roman" w:hAnsi="Times New Roman"/>
          <w:sz w:val="14"/>
          <w:szCs w:val="14"/>
          <w:color w:val="auto"/>
        </w:rPr>
      </w:pPr>
    </w:p>
    <w:p>
      <w:pPr>
        <w:ind w:left="340" w:hanging="80"/>
        <w:spacing w:after="0"/>
        <w:tabs>
          <w:tab w:leader="none" w:pos="3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 sales and EBITDA</w:t>
      </w:r>
    </w:p>
    <w:p>
      <w:pPr>
        <w:spacing w:after="0" w:line="8" w:lineRule="exact"/>
        <w:rPr>
          <w:rFonts w:ascii="Times New Roman" w:cs="Times New Roman" w:eastAsia="Times New Roman" w:hAnsi="Times New Roman"/>
          <w:sz w:val="14"/>
          <w:szCs w:val="14"/>
          <w:color w:val="auto"/>
        </w:rPr>
      </w:pPr>
    </w:p>
    <w:p>
      <w:pPr>
        <w:ind w:left="340" w:hanging="80"/>
        <w:spacing w:after="0"/>
        <w:tabs>
          <w:tab w:leader="none" w:pos="3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communications to management and the Board of Directors</w:t>
      </w:r>
    </w:p>
    <w:p>
      <w:pPr>
        <w:spacing w:after="0" w:line="8" w:lineRule="exact"/>
        <w:rPr>
          <w:rFonts w:ascii="Times New Roman" w:cs="Times New Roman" w:eastAsia="Times New Roman" w:hAnsi="Times New Roman"/>
          <w:sz w:val="14"/>
          <w:szCs w:val="14"/>
          <w:color w:val="auto"/>
        </w:rPr>
      </w:pPr>
    </w:p>
    <w:p>
      <w:pPr>
        <w:ind w:left="340" w:hanging="80"/>
        <w:spacing w:after="0"/>
        <w:tabs>
          <w:tab w:leader="none" w:pos="3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Forecasted information included in Company press releases, analyst and industry reports of the Company and companies in its peer group.</w:t>
      </w:r>
    </w:p>
    <w:p>
      <w:pPr>
        <w:spacing w:after="0" w:line="164" w:lineRule="exact"/>
        <w:rPr>
          <w:rFonts w:ascii="Times New Roman" w:cs="Times New Roman" w:eastAsia="Times New Roman" w:hAnsi="Times New Roman"/>
          <w:sz w:val="14"/>
          <w:szCs w:val="14"/>
          <w:color w:val="auto"/>
        </w:rPr>
      </w:pPr>
    </w:p>
    <w:p>
      <w:pPr>
        <w:ind w:left="220" w:hanging="88"/>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 tested the underlying source information, and the mathematical accuracy of the estimate of future cash flows within the fair value calculations.</w:t>
      </w:r>
    </w:p>
    <w:p>
      <w:pPr>
        <w:spacing w:after="0" w:line="178" w:lineRule="exact"/>
        <w:rPr>
          <w:rFonts w:ascii="Times New Roman" w:cs="Times New Roman" w:eastAsia="Times New Roman" w:hAnsi="Times New Roman"/>
          <w:sz w:val="14"/>
          <w:szCs w:val="14"/>
          <w:color w:val="auto"/>
        </w:rPr>
      </w:pPr>
    </w:p>
    <w:p>
      <w:pPr>
        <w:ind w:left="220" w:hanging="88"/>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 evaluated the WACC by:</w:t>
      </w:r>
    </w:p>
    <w:p>
      <w:pPr>
        <w:spacing w:after="0" w:line="23" w:lineRule="exact"/>
        <w:rPr>
          <w:rFonts w:ascii="Times New Roman" w:cs="Times New Roman" w:eastAsia="Times New Roman" w:hAnsi="Times New Roman"/>
          <w:sz w:val="14"/>
          <w:szCs w:val="14"/>
          <w:color w:val="auto"/>
        </w:rPr>
      </w:pPr>
    </w:p>
    <w:p>
      <w:pPr>
        <w:ind w:left="340" w:hanging="80"/>
        <w:spacing w:after="0"/>
        <w:tabs>
          <w:tab w:leader="none" w:pos="3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the underlying source information and the mathematical accuracy of the calculation</w:t>
      </w:r>
    </w:p>
    <w:p>
      <w:pPr>
        <w:spacing w:after="0" w:line="8" w:lineRule="exact"/>
        <w:rPr>
          <w:rFonts w:ascii="Times New Roman" w:cs="Times New Roman" w:eastAsia="Times New Roman" w:hAnsi="Times New Roman"/>
          <w:sz w:val="14"/>
          <w:szCs w:val="14"/>
          <w:color w:val="auto"/>
        </w:rPr>
      </w:pPr>
    </w:p>
    <w:p>
      <w:pPr>
        <w:ind w:left="340" w:hanging="80"/>
        <w:spacing w:after="0"/>
        <w:tabs>
          <w:tab w:leader="none" w:pos="3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 range of independent estimates and compared those to the rate used by management.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Detroit, 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6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15,780</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100" w:type="dxa"/>
            <w:vAlign w:val="bottom"/>
            <w:shd w:val="clear" w:color="auto" w:fill="CCEEFF"/>
          </w:tcPr>
          <w:p>
            <w:pPr>
              <w:spacing w:after="0"/>
              <w:rPr>
                <w:sz w:val="14"/>
                <w:szCs w:val="14"/>
                <w:color w:val="auto"/>
              </w:rPr>
            </w:pP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less allowance of $533 and $276</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86,677</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79,573</w:t>
            </w:r>
          </w:p>
        </w:tc>
      </w:tr>
      <w:tr>
        <w:trPr>
          <w:trHeight w:val="17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40,896</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50,305</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109,859</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105,135</w:t>
            </w:r>
          </w:p>
        </w:tc>
        <w:tc>
          <w:tcPr>
            <w:tcW w:w="100" w:type="dxa"/>
            <w:vAlign w:val="bottom"/>
          </w:tcPr>
          <w:p>
            <w:pPr>
              <w:spacing w:after="0"/>
              <w:rPr>
                <w:sz w:val="14"/>
                <w:szCs w:val="14"/>
                <w:color w:val="auto"/>
              </w:rPr>
            </w:pPr>
          </w:p>
        </w:tc>
      </w:tr>
      <w:tr>
        <w:trPr>
          <w:trHeight w:val="17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receivables – chassis pool agreements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37,032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34,496</w:t>
            </w: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7,346</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100" w:type="dxa"/>
            <w:vAlign w:val="bottom"/>
          </w:tcPr>
          <w:p>
            <w:pPr>
              <w:spacing w:after="0"/>
              <w:rPr>
                <w:sz w:val="14"/>
                <w:szCs w:val="14"/>
                <w:color w:val="auto"/>
              </w:rPr>
            </w:pPr>
          </w:p>
        </w:tc>
      </w:tr>
      <w:tr>
        <w:trPr>
          <w:trHeight w:val="161"/>
        </w:trPr>
        <w:tc>
          <w:tcPr>
            <w:tcW w:w="6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297,590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286,928</w:t>
            </w:r>
          </w:p>
        </w:tc>
        <w:tc>
          <w:tcPr>
            <w:tcW w:w="100" w:type="dxa"/>
            <w:vAlign w:val="bottom"/>
            <w:shd w:val="clear" w:color="auto" w:fill="CCEEFF"/>
          </w:tcPr>
          <w:p>
            <w:pPr>
              <w:spacing w:after="0"/>
              <w:rPr>
                <w:sz w:val="13"/>
                <w:szCs w:val="13"/>
                <w:color w:val="auto"/>
              </w:rPr>
            </w:pPr>
          </w:p>
        </w:tc>
      </w:tr>
      <w:tr>
        <w:trPr>
          <w:trHeight w:val="17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81,067</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83,437</w:t>
            </w:r>
          </w:p>
        </w:tc>
      </w:tr>
      <w:tr>
        <w:trPr>
          <w:trHeight w:val="1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Right of use assets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operating leases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41,101</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45,827</w:t>
            </w:r>
          </w:p>
        </w:tc>
      </w:tr>
      <w:tr>
        <w:trPr>
          <w:trHeight w:val="17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64,094</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48,880</w:t>
            </w:r>
          </w:p>
        </w:tc>
      </w:tr>
      <w:tr>
        <w:trPr>
          <w:trHeight w:val="1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Intangible assets, net</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59,064</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45,268</w:t>
            </w:r>
          </w:p>
        </w:tc>
      </w:tr>
      <w:tr>
        <w:trPr>
          <w:trHeight w:val="17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deferred tax assets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23,545</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17,300</w:t>
            </w:r>
          </w:p>
        </w:tc>
      </w:tr>
      <w:tr>
        <w:trPr>
          <w:trHeight w:val="170"/>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4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1"/>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568,748</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530,049</w:t>
            </w:r>
          </w:p>
        </w:tc>
        <w:tc>
          <w:tcPr>
            <w:tcW w:w="100" w:type="dxa"/>
            <w:vAlign w:val="bottom"/>
          </w:tcPr>
          <w:p>
            <w:pPr>
              <w:spacing w:after="0"/>
              <w:rPr>
                <w:sz w:val="13"/>
                <w:szCs w:val="13"/>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5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6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95,128</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99,855</w:t>
            </w:r>
          </w:p>
        </w:tc>
      </w:tr>
      <w:tr>
        <w:trPr>
          <w:trHeight w:val="17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warranty</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7,653</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100" w:type="dxa"/>
            <w:vAlign w:val="bottom"/>
            <w:shd w:val="clear" w:color="auto" w:fill="CCEEFF"/>
          </w:tcPr>
          <w:p>
            <w:pPr>
              <w:spacing w:after="0"/>
              <w:rPr>
                <w:sz w:val="14"/>
                <w:szCs w:val="14"/>
                <w:color w:val="auto"/>
              </w:rPr>
            </w:pP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compensation and related taxes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16,198</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13,526</w:t>
            </w:r>
          </w:p>
        </w:tc>
      </w:tr>
      <w:tr>
        <w:trPr>
          <w:trHeight w:val="17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3,553</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w:t>
            </w:r>
          </w:p>
        </w:tc>
        <w:tc>
          <w:tcPr>
            <w:tcW w:w="100" w:type="dxa"/>
            <w:vAlign w:val="bottom"/>
            <w:shd w:val="clear" w:color="auto" w:fill="CCEEFF"/>
          </w:tcPr>
          <w:p>
            <w:pPr>
              <w:spacing w:after="0"/>
              <w:rPr>
                <w:sz w:val="14"/>
                <w:szCs w:val="14"/>
                <w:color w:val="auto"/>
              </w:rPr>
            </w:pP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9,677</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10,817</w:t>
            </w:r>
          </w:p>
        </w:tc>
      </w:tr>
      <w:tr>
        <w:trPr>
          <w:trHeight w:val="17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 and accrued expenses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12,798</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11,965</w:t>
            </w:r>
          </w:p>
        </w:tc>
        <w:tc>
          <w:tcPr>
            <w:tcW w:w="100" w:type="dxa"/>
            <w:vAlign w:val="bottom"/>
            <w:shd w:val="clear" w:color="auto" w:fill="CCEEFF"/>
          </w:tcPr>
          <w:p>
            <w:pPr>
              <w:spacing w:after="0"/>
              <w:rPr>
                <w:sz w:val="14"/>
                <w:szCs w:val="14"/>
                <w:color w:val="auto"/>
              </w:rPr>
            </w:pP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debt – chassis pool agreements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37,032</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34,496</w:t>
            </w:r>
          </w:p>
        </w:tc>
      </w:tr>
      <w:tr>
        <w:trPr>
          <w:trHeight w:val="170"/>
        </w:trPr>
        <w:tc>
          <w:tcPr>
            <w:tcW w:w="6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1"/>
        </w:trPr>
        <w:tc>
          <w:tcPr>
            <w:tcW w:w="6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182,274</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182,831</w:t>
            </w:r>
          </w:p>
        </w:tc>
        <w:tc>
          <w:tcPr>
            <w:tcW w:w="100" w:type="dxa"/>
            <w:vAlign w:val="bottom"/>
          </w:tcPr>
          <w:p>
            <w:pPr>
              <w:spacing w:after="0"/>
              <w:rPr>
                <w:sz w:val="13"/>
                <w:szCs w:val="13"/>
                <w:color w:val="auto"/>
              </w:rPr>
            </w:pPr>
          </w:p>
        </w:tc>
      </w:tr>
      <w:tr>
        <w:trPr>
          <w:trHeight w:val="1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non-current liabilities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9,772</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8,184</w:t>
            </w:r>
          </w:p>
        </w:tc>
        <w:tc>
          <w:tcPr>
            <w:tcW w:w="100" w:type="dxa"/>
            <w:vAlign w:val="bottom"/>
            <w:shd w:val="clear" w:color="auto" w:fill="CCEEFF"/>
          </w:tcPr>
          <w:p>
            <w:pPr>
              <w:spacing w:after="0"/>
              <w:rPr>
                <w:sz w:val="14"/>
                <w:szCs w:val="14"/>
                <w:color w:val="auto"/>
              </w:rPr>
            </w:pPr>
          </w:p>
        </w:tc>
      </w:tr>
      <w:tr>
        <w:trPr>
          <w:trHeight w:val="17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Long-term operating lease liability</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33,156</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36,724</w:t>
            </w:r>
          </w:p>
        </w:tc>
      </w:tr>
      <w:tr>
        <w:trPr>
          <w:trHeight w:val="170"/>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debt, less current portion</w:t>
            </w:r>
          </w:p>
        </w:tc>
        <w:tc>
          <w:tcPr>
            <w:tcW w:w="14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95,223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50,144</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1"/>
        </w:trPr>
        <w:tc>
          <w:tcPr>
            <w:tcW w:w="6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320,425</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277,883</w:t>
            </w:r>
          </w:p>
        </w:tc>
        <w:tc>
          <w:tcPr>
            <w:tcW w:w="100" w:type="dxa"/>
            <w:vAlign w:val="bottom"/>
          </w:tcPr>
          <w:p>
            <w:pPr>
              <w:spacing w:after="0"/>
              <w:rPr>
                <w:sz w:val="13"/>
                <w:szCs w:val="13"/>
                <w:color w:val="auto"/>
              </w:rPr>
            </w:pPr>
          </w:p>
        </w:tc>
      </w:tr>
      <w:tr>
        <w:trPr>
          <w:trHeight w:val="1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contingent liabilities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 no par value: 2,000 shares authorized (none issued)</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no par value: 80,000 shares authorized; 34,917 and 34,303 outstanding</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99,752</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93,705</w:t>
            </w:r>
          </w:p>
        </w:tc>
      </w:tr>
      <w:tr>
        <w:trPr>
          <w:trHeight w:val="170"/>
        </w:trPr>
        <w:tc>
          <w:tcPr>
            <w:tcW w:w="6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148,571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158,461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1"/>
        </w:trPr>
        <w:tc>
          <w:tcPr>
            <w:tcW w:w="6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248,323</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252,166</w:t>
            </w:r>
          </w:p>
        </w:tc>
        <w:tc>
          <w:tcPr>
            <w:tcW w:w="100" w:type="dxa"/>
            <w:vAlign w:val="bottom"/>
          </w:tcPr>
          <w:p>
            <w:pPr>
              <w:spacing w:after="0"/>
              <w:rPr>
                <w:sz w:val="13"/>
                <w:szCs w:val="13"/>
                <w:color w:val="auto"/>
              </w:rPr>
            </w:pPr>
          </w:p>
        </w:tc>
      </w:tr>
      <w:tr>
        <w:trPr>
          <w:trHeight w:val="201"/>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568,748</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530,049</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34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161"/>
        </w:trPr>
        <w:tc>
          <w:tcPr>
            <w:tcW w:w="34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3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786,176</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872,198</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1,027,164</w:t>
            </w:r>
          </w:p>
        </w:tc>
        <w:tc>
          <w:tcPr>
            <w:tcW w:w="100" w:type="dxa"/>
            <w:vAlign w:val="bottom"/>
            <w:shd w:val="clear" w:color="auto" w:fill="CCEEFF"/>
          </w:tcPr>
          <w:p>
            <w:pPr>
              <w:spacing w:after="0"/>
              <w:rPr>
                <w:sz w:val="14"/>
                <w:szCs w:val="14"/>
                <w:color w:val="auto"/>
              </w:rPr>
            </w:pPr>
          </w:p>
        </w:tc>
      </w:tr>
      <w:tr>
        <w:trPr>
          <w:trHeight w:val="170"/>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Cost of products sold</w:t>
            </w: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721,840</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846,731</w:t>
            </w:r>
          </w:p>
        </w:tc>
        <w:tc>
          <w:tcPr>
            <w:tcW w:w="100" w:type="dxa"/>
            <w:vAlign w:val="bottom"/>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157,190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150,358</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180,433</w:t>
            </w:r>
          </w:p>
        </w:tc>
        <w:tc>
          <w:tcPr>
            <w:tcW w:w="100" w:type="dxa"/>
            <w:vAlign w:val="bottom"/>
            <w:shd w:val="clear" w:color="auto" w:fill="CCEEFF"/>
          </w:tcPr>
          <w:p>
            <w:pPr>
              <w:spacing w:after="0"/>
              <w:rPr>
                <w:sz w:val="13"/>
                <w:szCs w:val="13"/>
                <w:color w:val="auto"/>
              </w:rPr>
            </w:pPr>
          </w:p>
        </w:tc>
      </w:tr>
      <w:tr>
        <w:trPr>
          <w:trHeight w:val="161"/>
        </w:trPr>
        <w:tc>
          <w:tcPr>
            <w:tcW w:w="3460" w:type="dxa"/>
            <w:vAlign w:val="bottom"/>
            <w:tcBorders>
              <w:top w:val="single" w:sz="8" w:color="CCEEFF"/>
            </w:tcBorders>
          </w:tcPr>
          <w:p>
            <w:pPr>
              <w:spacing w:after="0"/>
              <w:rPr>
                <w:sz w:val="13"/>
                <w:szCs w:val="13"/>
                <w:color w:val="auto"/>
              </w:rPr>
            </w:pPr>
          </w:p>
        </w:tc>
        <w:tc>
          <w:tcPr>
            <w:tcW w:w="288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16,319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25,185</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25,324</w:t>
            </w:r>
          </w:p>
        </w:tc>
      </w:tr>
      <w:tr>
        <w:trPr>
          <w:trHeight w:val="17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118,420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107,600</w:t>
            </w:r>
          </w:p>
        </w:tc>
        <w:tc>
          <w:tcPr>
            <w:tcW w:w="100" w:type="dxa"/>
            <w:vAlign w:val="bottom"/>
            <w:shd w:val="clear" w:color="auto" w:fill="CCEEFF"/>
          </w:tcPr>
          <w:p>
            <w:pPr>
              <w:spacing w:after="0"/>
              <w:rPr>
                <w:sz w:val="14"/>
                <w:szCs w:val="14"/>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143,605</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132,924</w:t>
            </w:r>
          </w:p>
        </w:tc>
        <w:tc>
          <w:tcPr>
            <w:tcW w:w="100" w:type="dxa"/>
            <w:vAlign w:val="bottom"/>
          </w:tcPr>
          <w:p>
            <w:pPr>
              <w:spacing w:after="0"/>
              <w:rPr>
                <w:sz w:val="13"/>
                <w:szCs w:val="13"/>
                <w:color w:val="auto"/>
              </w:rPr>
            </w:pPr>
          </w:p>
        </w:tc>
      </w:tr>
      <w:tr>
        <w:trPr>
          <w:trHeight w:val="161"/>
        </w:trPr>
        <w:tc>
          <w:tcPr>
            <w:tcW w:w="34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6,753</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47,509</w:t>
            </w:r>
          </w:p>
        </w:tc>
      </w:tr>
      <w:tr>
        <w:trPr>
          <w:trHeight w:val="161"/>
        </w:trPr>
        <w:tc>
          <w:tcPr>
            <w:tcW w:w="34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(8,540)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(6,527)</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(2,833)</w:t>
            </w:r>
          </w:p>
        </w:tc>
      </w:tr>
      <w:tr>
        <w:trPr>
          <w:trHeight w:val="170"/>
        </w:trPr>
        <w:tc>
          <w:tcPr>
            <w:tcW w:w="3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income (expense)</w:t>
            </w: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470</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(750)</w:t>
            </w:r>
          </w:p>
        </w:tc>
      </w:tr>
      <w:tr>
        <w:trPr>
          <w:trHeight w:val="20"/>
        </w:trPr>
        <w:tc>
          <w:tcPr>
            <w:tcW w:w="3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w:t>
            </w:r>
          </w:p>
        </w:tc>
        <w:tc>
          <w:tcPr>
            <w:tcW w:w="2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(6,336)</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(6,057)</w:t>
            </w:r>
          </w:p>
        </w:tc>
        <w:tc>
          <w:tcPr>
            <w:tcW w:w="3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(3,583)</w:t>
            </w:r>
          </w:p>
        </w:tc>
      </w:tr>
      <w:tr>
        <w:trPr>
          <w:trHeight w:val="170"/>
        </w:trPr>
        <w:tc>
          <w:tcPr>
            <w:tcW w:w="3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(2,229)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696</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43,926</w:t>
            </w:r>
          </w:p>
        </w:tc>
      </w:tr>
      <w:tr>
        <w:trPr>
          <w:trHeight w:val="170"/>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(5,768)</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100" w:type="dxa"/>
            <w:vAlign w:val="bottom"/>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(2,795)</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6,464</w:t>
            </w:r>
          </w:p>
        </w:tc>
        <w:tc>
          <w:tcPr>
            <w:tcW w:w="3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36,558</w:t>
            </w:r>
          </w:p>
        </w:tc>
      </w:tr>
      <w:tr>
        <w:trPr>
          <w:trHeight w:val="170"/>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1"/>
        </w:trPr>
        <w:tc>
          <w:tcPr>
            <w:tcW w:w="34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attributable to Shyft Group, Inc.</w:t>
            </w:r>
          </w:p>
        </w:tc>
        <w:tc>
          <w:tcPr>
            <w:tcW w:w="3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(2,795)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6,496</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36,558</w:t>
            </w:r>
          </w:p>
        </w:tc>
      </w:tr>
      <w:tr>
        <w:trPr>
          <w:trHeight w:val="20"/>
        </w:trPr>
        <w:tc>
          <w:tcPr>
            <w:tcW w:w="3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46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earnings (loss) per share</w:t>
            </w:r>
          </w:p>
        </w:tc>
        <w:tc>
          <w:tcPr>
            <w:tcW w:w="3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0.19</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w:t>
            </w:r>
          </w:p>
        </w:tc>
      </w:tr>
      <w:tr>
        <w:trPr>
          <w:trHeight w:val="17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Diluted earnings (loss) per share</w:t>
            </w:r>
          </w:p>
        </w:tc>
        <w:tc>
          <w:tcPr>
            <w:tcW w:w="3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(0.08)</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0.19</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w:t>
            </w:r>
          </w:p>
        </w:tc>
      </w:tr>
      <w:tr>
        <w:trPr>
          <w:trHeight w:val="170"/>
        </w:trPr>
        <w:tc>
          <w:tcPr>
            <w:tcW w:w="3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weighted average common shares outstanding</w:t>
            </w:r>
          </w:p>
        </w:tc>
        <w:tc>
          <w:tcPr>
            <w:tcW w:w="2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34,427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34,721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35,073</w:t>
            </w:r>
          </w:p>
        </w:tc>
      </w:tr>
      <w:tr>
        <w:trPr>
          <w:trHeight w:val="142"/>
        </w:trPr>
        <w:tc>
          <w:tcPr>
            <w:tcW w:w="3460" w:type="dxa"/>
            <w:vAlign w:val="bottom"/>
            <w:tcBorders>
              <w:top w:val="single" w:sz="8" w:color="CCEEFF"/>
            </w:tcBorders>
          </w:tcPr>
          <w:p>
            <w:pPr>
              <w:spacing w:after="0"/>
              <w:rPr>
                <w:sz w:val="12"/>
                <w:szCs w:val="12"/>
                <w:color w:val="auto"/>
              </w:rPr>
            </w:pPr>
          </w:p>
        </w:tc>
        <w:tc>
          <w:tcPr>
            <w:tcW w:w="288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9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weighted average common shares outstanding</w:t>
            </w:r>
          </w:p>
        </w:tc>
        <w:tc>
          <w:tcPr>
            <w:tcW w:w="2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34,861</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35,494</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11"/>
        </w:trPr>
        <w:tc>
          <w:tcPr>
            <w:tcW w:w="3460" w:type="dxa"/>
            <w:vAlign w:val="bottom"/>
          </w:tcPr>
          <w:p>
            <w:pPr>
              <w:spacing w:after="0"/>
              <w:rPr>
                <w:sz w:val="24"/>
                <w:szCs w:val="24"/>
                <w:color w:val="auto"/>
              </w:rPr>
            </w:pPr>
          </w:p>
        </w:tc>
        <w:tc>
          <w:tcPr>
            <w:tcW w:w="44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460" w:type="dxa"/>
            <w:vAlign w:val="bottom"/>
          </w:tcPr>
          <w:p>
            <w:pPr>
              <w:spacing w:after="0"/>
              <w:rPr>
                <w:sz w:val="24"/>
                <w:szCs w:val="24"/>
                <w:color w:val="auto"/>
              </w:rPr>
            </w:pPr>
          </w:p>
        </w:tc>
        <w:tc>
          <w:tcPr>
            <w:tcW w:w="288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46</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346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505"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left="158"/>
              <w:spacing w:after="0"/>
              <w:rPr>
                <w:sz w:val="20"/>
                <w:szCs w:val="20"/>
                <w:color w:val="auto"/>
              </w:rPr>
            </w:pPr>
            <w:r>
              <w:rPr>
                <w:rFonts w:ascii="Times New Roman" w:cs="Times New Roman" w:eastAsia="Times New Roman" w:hAnsi="Times New Roman"/>
                <w:sz w:val="14"/>
                <w:szCs w:val="14"/>
                <w:color w:val="auto"/>
              </w:rPr>
              <w:t>Non-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4"/>
              </w:rPr>
              <w:t>Total</w:t>
            </w:r>
          </w:p>
        </w:tc>
      </w:tr>
      <w:tr>
        <w:trPr>
          <w:trHeight w:val="170"/>
        </w:trPr>
        <w:tc>
          <w:tcPr>
            <w:tcW w:w="464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Retained</w:t>
            </w:r>
          </w:p>
        </w:tc>
        <w:tc>
          <w:tcPr>
            <w:tcW w:w="880" w:type="dxa"/>
            <w:vAlign w:val="bottom"/>
          </w:tcPr>
          <w:p>
            <w:pPr>
              <w:jc w:val="center"/>
              <w:ind w:left="158"/>
              <w:spacing w:after="0"/>
              <w:rPr>
                <w:sz w:val="20"/>
                <w:szCs w:val="20"/>
                <w:color w:val="auto"/>
              </w:rPr>
            </w:pPr>
            <w:r>
              <w:rPr>
                <w:rFonts w:ascii="Times New Roman" w:cs="Times New Roman" w:eastAsia="Times New Roman" w:hAnsi="Times New Roman"/>
                <w:sz w:val="14"/>
                <w:szCs w:val="14"/>
                <w:color w:val="auto"/>
              </w:rPr>
              <w:t>Controlling</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Shareholders'</w:t>
            </w:r>
          </w:p>
        </w:tc>
      </w:tr>
      <w:tr>
        <w:trPr>
          <w:trHeight w:val="184"/>
        </w:trPr>
        <w:tc>
          <w:tcPr>
            <w:tcW w:w="4640" w:type="dxa"/>
            <w:vAlign w:val="bottom"/>
          </w:tcPr>
          <w:p>
            <w:pPr>
              <w:spacing w:after="0"/>
              <w:rPr>
                <w:sz w:val="16"/>
                <w:szCs w:val="16"/>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Earnings</w:t>
            </w:r>
          </w:p>
        </w:tc>
        <w:tc>
          <w:tcPr>
            <w:tcW w:w="880" w:type="dxa"/>
            <w:vAlign w:val="bottom"/>
          </w:tcPr>
          <w:p>
            <w:pPr>
              <w:jc w:val="center"/>
              <w:ind w:left="158"/>
              <w:spacing w:after="0"/>
              <w:rPr>
                <w:sz w:val="20"/>
                <w:szCs w:val="20"/>
                <w:color w:val="auto"/>
              </w:rPr>
            </w:pPr>
            <w:r>
              <w:rPr>
                <w:rFonts w:ascii="Times New Roman" w:cs="Times New Roman" w:eastAsia="Times New Roman" w:hAnsi="Times New Roman"/>
                <w:sz w:val="14"/>
                <w:szCs w:val="14"/>
                <w:color w:val="auto"/>
                <w:w w:val="99"/>
              </w:rPr>
              <w:t>Interest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Equity</w:t>
            </w:r>
          </w:p>
        </w:tc>
      </w:tr>
      <w:tr>
        <w:trPr>
          <w:trHeight w:val="161"/>
        </w:trPr>
        <w:tc>
          <w:tcPr>
            <w:tcW w:w="46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35,416</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95,375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171,379</w:t>
            </w:r>
          </w:p>
        </w:tc>
        <w:tc>
          <w:tcPr>
            <w:tcW w:w="88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5"/>
              </w:rPr>
              <w:t>101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266,855</w:t>
            </w:r>
          </w:p>
        </w:tc>
        <w:tc>
          <w:tcPr>
            <w:tcW w:w="100" w:type="dxa"/>
            <w:vAlign w:val="bottom"/>
            <w:shd w:val="clear" w:color="auto" w:fill="CCEEFF"/>
          </w:tcPr>
          <w:p>
            <w:pPr>
              <w:spacing w:after="0"/>
              <w:rPr>
                <w:sz w:val="14"/>
                <w:szCs w:val="14"/>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and tax impact of stock incentive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(8,414)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(8,414)</w:t>
            </w: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(7,135)</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(7,135)</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Purchase and retirement of common stock</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(25,191)</w:t>
            </w:r>
          </w:p>
        </w:tc>
        <w:tc>
          <w:tcPr>
            <w:tcW w:w="8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(26,789)</w:t>
            </w: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restricted stock, net of cancellation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7,619</w:t>
            </w: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36,558</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36,558</w:t>
            </w:r>
          </w:p>
        </w:tc>
      </w:tr>
      <w:tr>
        <w:trPr>
          <w:trHeight w:val="20"/>
        </w:trPr>
        <w:tc>
          <w:tcPr>
            <w:tcW w:w="46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92,982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175,611</w:t>
            </w:r>
          </w:p>
        </w:tc>
        <w:tc>
          <w:tcPr>
            <w:tcW w:w="880" w:type="dxa"/>
            <w:vAlign w:val="bottom"/>
          </w:tcPr>
          <w:p>
            <w:pPr>
              <w:jc w:val="right"/>
              <w:ind w:right="75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101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268,694</w:t>
            </w:r>
          </w:p>
        </w:tc>
        <w:tc>
          <w:tcPr>
            <w:tcW w:w="100" w:type="dxa"/>
            <w:vAlign w:val="bottom"/>
          </w:tcPr>
          <w:p>
            <w:pPr>
              <w:spacing w:after="0"/>
              <w:rPr>
                <w:sz w:val="13"/>
                <w:szCs w:val="13"/>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and tax impact of stock incentive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(4,460)</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(7,101)</w:t>
            </w:r>
          </w:p>
        </w:tc>
        <w:tc>
          <w:tcPr>
            <w:tcW w:w="8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(7,101)</w:t>
            </w: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and retirement of common stock</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(16,545)</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(19,196)</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to Non-controlling interest owner</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w:t>
            </w: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restricted stock, net of cancellation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6,496</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shd w:val="clear" w:color="auto" w:fill="CCEEFF"/>
          </w:tcPr>
          <w:p>
            <w:pPr>
              <w:spacing w:after="0"/>
              <w:rPr>
                <w:sz w:val="14"/>
                <w:szCs w:val="14"/>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93,705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158,461</w:t>
            </w:r>
          </w:p>
        </w:tc>
        <w:tc>
          <w:tcPr>
            <w:tcW w:w="880" w:type="dxa"/>
            <w:vAlign w:val="bottom"/>
          </w:tcPr>
          <w:p>
            <w:pPr>
              <w:jc w:val="right"/>
              <w:ind w:right="75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252,166</w:t>
            </w:r>
          </w:p>
        </w:tc>
        <w:tc>
          <w:tcPr>
            <w:tcW w:w="100" w:type="dxa"/>
            <w:vAlign w:val="bottom"/>
          </w:tcPr>
          <w:p>
            <w:pPr>
              <w:spacing w:after="0"/>
              <w:rPr>
                <w:sz w:val="13"/>
                <w:szCs w:val="13"/>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and tax impact of stock incentive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(4,203)</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(7,095)</w:t>
            </w:r>
          </w:p>
        </w:tc>
        <w:tc>
          <w:tcPr>
            <w:tcW w:w="8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(7,095)</w:t>
            </w: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restricted stock, net of cancellation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10,250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10,250</w:t>
            </w: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(2,795)</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(2,795)</w:t>
            </w:r>
          </w:p>
        </w:tc>
      </w:tr>
      <w:tr>
        <w:trPr>
          <w:trHeight w:val="20"/>
        </w:trPr>
        <w:tc>
          <w:tcPr>
            <w:tcW w:w="46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99,752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148,571</w:t>
            </w:r>
          </w:p>
        </w:tc>
        <w:tc>
          <w:tcPr>
            <w:tcW w:w="880" w:type="dxa"/>
            <w:vAlign w:val="bottom"/>
          </w:tcPr>
          <w:p>
            <w:pPr>
              <w:jc w:val="right"/>
              <w:ind w:right="75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248,323</w:t>
            </w:r>
          </w:p>
        </w:tc>
        <w:tc>
          <w:tcPr>
            <w:tcW w:w="100" w:type="dxa"/>
            <w:vAlign w:val="bottom"/>
          </w:tcPr>
          <w:p>
            <w:pPr>
              <w:spacing w:after="0"/>
              <w:rPr>
                <w:sz w:val="13"/>
                <w:szCs w:val="13"/>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5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r>
      <w:tr>
        <w:trPr>
          <w:trHeight w:val="161"/>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58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(2,795)</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6,464</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36,558</w:t>
            </w:r>
          </w:p>
        </w:tc>
      </w:tr>
      <w:tr>
        <w:trPr>
          <w:trHeight w:val="17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16,953</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14,774</w:t>
            </w:r>
          </w:p>
        </w:tc>
      </w:tr>
      <w:tr>
        <w:trPr>
          <w:trHeight w:val="170"/>
        </w:trPr>
        <w:tc>
          <w:tcPr>
            <w:tcW w:w="5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Non-cash stock based compensation expense</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7,834</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w:t>
            </w:r>
          </w:p>
        </w:tc>
        <w:tc>
          <w:tcPr>
            <w:tcW w:w="100" w:type="dxa"/>
            <w:vAlign w:val="bottom"/>
            <w:shd w:val="clear" w:color="auto" w:fill="CCEEFF"/>
          </w:tcPr>
          <w:p>
            <w:pPr>
              <w:spacing w:after="0"/>
              <w:rPr>
                <w:sz w:val="14"/>
                <w:szCs w:val="14"/>
                <w:color w:val="auto"/>
              </w:rPr>
            </w:pPr>
          </w:p>
        </w:tc>
      </w:tr>
      <w:tr>
        <w:trPr>
          <w:trHeight w:val="170"/>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(6,911)</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(5,510)</w:t>
            </w:r>
          </w:p>
        </w:tc>
      </w:tr>
      <w:tr>
        <w:trPr>
          <w:trHeight w:val="170"/>
        </w:trPr>
        <w:tc>
          <w:tcPr>
            <w:tcW w:w="5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389</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826</w:t>
            </w:r>
          </w:p>
        </w:tc>
      </w:tr>
      <w:tr>
        <w:trPr>
          <w:trHeight w:val="17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accounts receivable and contract assets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72,857</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(93,989)</w:t>
            </w:r>
          </w:p>
        </w:tc>
      </w:tr>
      <w:tr>
        <w:trPr>
          <w:trHeight w:val="17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inventories</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(4,975)</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(32,977)</w:t>
            </w:r>
          </w:p>
        </w:tc>
      </w:tr>
      <w:tr>
        <w:trPr>
          <w:trHeight w:val="17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accounts payable</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(6,687)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(27,963)</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41,302</w:t>
            </w:r>
          </w:p>
        </w:tc>
      </w:tr>
      <w:tr>
        <w:trPr>
          <w:trHeight w:val="17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accrued compensation and related taxes</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(908)</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(4,630)</w:t>
            </w:r>
          </w:p>
        </w:tc>
      </w:tr>
      <w:tr>
        <w:trPr>
          <w:trHeight w:val="17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accrued warranty</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70</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Pr>
          <w:p>
            <w:pPr>
              <w:spacing w:after="0"/>
              <w:rPr>
                <w:sz w:val="14"/>
                <w:szCs w:val="14"/>
                <w:color w:val="auto"/>
              </w:rPr>
            </w:pPr>
          </w:p>
        </w:tc>
      </w:tr>
      <w:tr>
        <w:trPr>
          <w:trHeight w:val="17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other assets and liabilities</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(7,566)</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15,998</w:t>
            </w:r>
          </w:p>
        </w:tc>
      </w:tr>
      <w:tr>
        <w:trPr>
          <w:trHeight w:val="20"/>
        </w:trPr>
        <w:tc>
          <w:tcPr>
            <w:tcW w:w="56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56,244</w:t>
            </w:r>
          </w:p>
        </w:tc>
        <w:tc>
          <w:tcPr>
            <w:tcW w:w="34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(18,843)</w:t>
            </w:r>
          </w:p>
        </w:tc>
      </w:tr>
      <w:tr>
        <w:trPr>
          <w:trHeight w:val="161"/>
        </w:trPr>
        <w:tc>
          <w:tcPr>
            <w:tcW w:w="5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(13,661)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(20,733)</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(20,564)</w:t>
            </w:r>
          </w:p>
        </w:tc>
      </w:tr>
      <w:tr>
        <w:trPr>
          <w:trHeight w:val="17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119</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148</w:t>
            </w:r>
          </w:p>
        </w:tc>
      </w:tr>
      <w:tr>
        <w:trPr>
          <w:trHeight w:val="17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(47,631)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(61,197)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(21,114)</w:t>
            </w:r>
          </w:p>
        </w:tc>
        <w:tc>
          <w:tcPr>
            <w:tcW w:w="34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(20,416)</w:t>
            </w:r>
          </w:p>
        </w:tc>
      </w:tr>
      <w:tr>
        <w:trPr>
          <w:trHeight w:val="161"/>
        </w:trPr>
        <w:tc>
          <w:tcPr>
            <w:tcW w:w="5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132,500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145,000</w:t>
            </w:r>
          </w:p>
        </w:tc>
        <w:tc>
          <w:tcPr>
            <w:tcW w:w="100" w:type="dxa"/>
            <w:vAlign w:val="bottom"/>
            <w:shd w:val="clear" w:color="auto" w:fill="CCEEFF"/>
          </w:tcPr>
          <w:p>
            <w:pPr>
              <w:spacing w:after="0"/>
              <w:rPr>
                <w:sz w:val="14"/>
                <w:szCs w:val="14"/>
                <w:color w:val="auto"/>
              </w:rPr>
            </w:pPr>
          </w:p>
        </w:tc>
      </w:tr>
      <w:tr>
        <w:trPr>
          <w:trHeight w:val="17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long-term debt</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(138,500)</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(89,000)</w:t>
            </w:r>
          </w:p>
        </w:tc>
      </w:tr>
      <w:tr>
        <w:trPr>
          <w:trHeight w:val="17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dividends</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(7,109)</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(7,148)</w:t>
            </w:r>
          </w:p>
        </w:tc>
      </w:tr>
      <w:tr>
        <w:trPr>
          <w:trHeight w:val="17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and retirement of common stock</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(19,083)</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(26,789)</w:t>
            </w:r>
          </w:p>
        </w:tc>
      </w:tr>
      <w:tr>
        <w:trPr>
          <w:trHeight w:val="17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and vesting of stock incentive awards</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(4,460)</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(8,414)</w:t>
            </w:r>
          </w:p>
        </w:tc>
      </w:tr>
      <w:tr>
        <w:trPr>
          <w:trHeight w:val="17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 to non-controlling interest owner</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20"/>
        </w:trPr>
        <w:tc>
          <w:tcPr>
            <w:tcW w:w="5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(36,721)</w:t>
            </w:r>
          </w:p>
        </w:tc>
        <w:tc>
          <w:tcPr>
            <w:tcW w:w="3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13,649</w:t>
            </w:r>
          </w:p>
        </w:tc>
      </w:tr>
      <w:tr>
        <w:trPr>
          <w:trHeight w:val="161"/>
        </w:trPr>
        <w:tc>
          <w:tcPr>
            <w:tcW w:w="568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(1,591)</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(25,610)</w:t>
            </w: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11,548</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37,158</w:t>
            </w:r>
          </w:p>
        </w:tc>
      </w:tr>
      <w:tr>
        <w:trPr>
          <w:trHeight w:val="20"/>
        </w:trPr>
        <w:tc>
          <w:tcPr>
            <w:tcW w:w="5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158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15,780</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9,957</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11,548</w:t>
            </w:r>
          </w:p>
        </w:tc>
        <w:tc>
          <w:tcPr>
            <w:tcW w:w="100" w:type="dxa"/>
            <w:vAlign w:val="bottom"/>
            <w:shd w:val="clear" w:color="auto" w:fill="CCEEFF"/>
          </w:tcPr>
          <w:p>
            <w:pPr>
              <w:spacing w:after="0"/>
              <w:rPr>
                <w:sz w:val="15"/>
                <w:szCs w:val="15"/>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NATURE OF OPERATIONS AND BASIS OF PRESENTATION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herein, the term “Company”, “we”, “us” or “our” refers to The Shyft Group, Inc. and its subsidiaries unless designated or identified otherwise.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Nature of Operations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 niche market leader in specialty vehicle manufacturing and assembly for the commercial vehicle (including last-mile delivery, specialty service and vocation-specific upfit) and recreational vehicle industries. Our products include walk-in vans and truck bodies used in e-commerce/parcel delivery, upfit equipment used in the mobile retail and utility trades, service and vocational truck bodies, luxury Class A diesel motorhome chassis and contract manufacturing and assembly services. We also supply replacement parts and offer repair, maintenance, field service and refurbishment services for the vehicles that we manufacture as well as truck accessories.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Aebi Schmidt Transaction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16, 2024, we entered into that certain Agreement and Plan of Merger, dated as of December 16, 2024 (the “Merger Agreement”), by and among the Company, Aebi Schmidt Holding AG, a Switzerland Aktiengesellschaft (“Aebi Schmidt”), ASH US Group, LLC, a Delaware limited liability company and direct, wholly owned subsidiary of Aebi Schmidt (“Holdco”), and Badger Merger Sub, Inc., a Michigan corporation and direct, wholly owned subsidiary of Holdco (“Merger Sub”), pursuant to which, on the terms and subject to the conditions set forth in the Merger Agreement, Merger Sub will merge with and into the Company (the “Merger”, and the time at which the Merger is effective, the “Effective Time”), with the Company surviving the Merger as a direct, wholly owned subsidiary of Holdco and as an indirect, wholly owned subsidiary of Aebi Schmidt (the transactions contemplated by the Merger Agreement, the “Transactions”).</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At the Effective Time, each share of our common stock issued and outstanding as of immediately prior to the Effective Time (other than any shares of our common stock that are held as of immediately prior to the Effective Time by Holdco, Aebi Schmidt, Merger Sub or any of their respective subsidiaries) will automatically be converted into the right to receive 1.040166432 fully paid and nonassessable shares of common stock, par value $1.00 per share, of Aebi Schmidt (“Aebi Schmidt Common Stock”), on the terms and subject to the conditions set forth in the Merger Agreement.</w:t>
      </w:r>
    </w:p>
    <w:p>
      <w:pPr>
        <w:spacing w:after="0" w:line="3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Following the closing of the Transactions (the “Closing”), the holders of shares of our common stock as of immediately prior to the Effective Time will own approximately 48% of the issued and outstanding shares of Aebi Schmidt Common Stock and the holders of shares of Aebi Schmidt Common Stock as of immediately prior to the Effective Time will own approximately 52% of the issued and outstanding shares of Aebi Schmidt Common Stock.</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immediately following the Effective Time, the board of directors of Aebi Schmidt (the “Aebi Schmidt Board”) will be composed of eleven members, six of whom will be designated by Aebi Schmidt and five of whom will be designated by the Company. James A. Sharman, the Chairman of our Board of Directors as of immediately prior to the Effective Time, will serve as the Chairman of the Aebi Schmidt Board following the Effective Time. The Merger Agreement includes a covenant requiring the Company and Aebi Schmidt to cooperate in good faith until the Closing to agree on a new name and ticker symbol for Aebi Schmidt.</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Closing is is expected to occur in mid-2025, subject to certain closing conditions, including, among others, (a) the affirmative vote of the holders of a majority of the outstanding shares of our common stock, (b) the approval by a two-thirds majority of the shares of Aebi Schmidt Common Stock represented at an extraordinary meeting of the shareholders of Aebi Schmidt of the Transactions and debt financing, (c) the expiration or termination of any waiting periods (or any extension thereof) applicable to the consummation of the Merger under the Hart-Scott-Rodino Antitrust Improvements Act of 1976, as amended (the “HSR Act”), and (d) the receipt of certain required regulatory consents, approvals, non-disapprovals and other authorizations under certain applicable antitrust and foreign direct investment laws and regulations specified in the Merger Agreement. The obligation of the Company to consummate the Closing is further conditioned on Aebi Schmidt obtaining debt financing substantially concurrently with the Closing.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our accounts and the accounts of our wholly owned subsidiary, The Shyft Group USA, Inc. and its subsidiaries. All inter-company transactions have been eliminated.</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Non-Controlling Interest.</w:t>
      </w:r>
      <w:r>
        <w:rPr>
          <w:rFonts w:ascii="Times New Roman" w:cs="Times New Roman" w:eastAsia="Times New Roman" w:hAnsi="Times New Roman"/>
          <w:sz w:val="14"/>
          <w:szCs w:val="14"/>
          <w:color w:val="auto"/>
        </w:rPr>
        <w:t xml:space="preserve"> In the fourth quarter of 2023, the liquidation of the Spartan-Gimaex joint venture was completed. At December 31, 2022, The Shyft Group USA, Inc. held a 50% share in Spartan-Gimaex, however, due to the management and operational structure of the joint venture, The Shyft Group USA, Inc. was considered to have had the ability to control the operations of Spartan-Gimaex. Accordingly, Spartan-Gimaex was reported as a consolidated subsidiary of The Shyft Group, Inc. The joint venture was not active and the liquidation was substantially complete.</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Use of Estimates</w:t>
      </w:r>
      <w:r>
        <w:rPr>
          <w:rFonts w:ascii="Times New Roman" w:cs="Times New Roman" w:eastAsia="Times New Roman" w:hAnsi="Times New Roman"/>
          <w:sz w:val="14"/>
          <w:szCs w:val="14"/>
          <w:color w:val="auto"/>
        </w:rPr>
        <w:t>. In the preparation of our financial statements in accordance with U.S. generally accepted accounting principles (“GAAP”), management uses estimates and makes judgments and assumptions that affect asset and liability values and the amounts reported as income and expense during the periods presented. Certain of these estimates, judgments and assumptions, such as the allowance for credit losses, warranty expenses, impairment assessments of tangible and intangible assets, and the provision for income taxes, are particularly sensitive. If actual results are different from estimates used by management, they may have a material impact on the financial statements.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Revenue Recognition</w:t>
      </w:r>
      <w:r>
        <w:rPr>
          <w:rFonts w:ascii="Times New Roman" w:cs="Times New Roman" w:eastAsia="Times New Roman" w:hAnsi="Times New Roman"/>
          <w:sz w:val="14"/>
          <w:szCs w:val="14"/>
          <w:color w:val="auto"/>
        </w:rPr>
        <w:t>. 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 significant variable consideration. The collectability of consideration on the contract is reasonably assured before revenue is recognized. On certain vehicles, payment may be received in advance of us satisfying our performance obligations. Such payments are recorded in Contract liabilities on the Consolidated Balance Sheets. The corresponding performance obligations are generally satisfied within one year of the contract inception. In such cases, we have elected to apply the practical expedient to not adjust the promised amount of consideration for the effects of a significant financing component. The financing impact on contracts that contain performance obligations that are not expected to be satisfied within one year are expected to be immaterial to our consolidated financial statements.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 (see “Note 10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for further information on warranties). Our contracts with customers do not contain a provision for product returns, except for contracts related to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parts sales.</w:t>
      </w:r>
    </w:p>
    <w:p>
      <w:pPr>
        <w:spacing w:after="0" w:line="3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for parts sales for all segments is recognized at the time that control has passed to the customer, which is generally when the ordered part is shipped to the customer. Historical return rates on parts sales have been immaterial.</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Distinct revenue recognition policies for our segments are as follows: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Fleet Vehicles and Services (“FVS”)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walk-in vans and truck bodies are generally built on a chassis that is owned and controlled by the customer. Due to the customer ownership of the chassis, the performance obligation for these walk-in vans and truck bodies is satisfied as the vehicles are built. Accordingly, the revenue and corresponding cost of products sold associated with these contracts are recognized over time based on the inputs completed for a given performance obligation during the reporting period. Certain contracts will specify that a walk-in van or truck body is to be built on a chassis that we purchase and subsequently sell to the customer. The revenue on these contracts is recognized at the time that the performance obligation is satisfied, and control and risk of ownership has passed to the customer, which is generally upon shipment of the vehicle from our manufacturing facility to the customer or receipt of the vehicle by the customer, depending on contract terms. We have elected to treat shipping and handling costs subsequent to transfer of control as fulfillment activities and, accordingly, recognize these costs as the revenue is recognized.</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for upfit and field service contracts is recognized over time, as equipment is installed in the customer’s vehicle or as repairs and enhancements are made to the customer’s vehicles. Revenue and the corresponding cost of products sold is estimated based on the inputs completed for a given performance obligation. Our receivables are generally collected in less than three months, in accordance with our underlying payment terms.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Specialty Vehicles (“SV”)</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revenue and the corresponding cost of products sold on the sale of motorhome chassis and service bodies where we own the chassis when the performance obligation is completed and control and risk of ownership of the chassis has passed to our customer, which is generally upon shipment of the chassis or vehicle to the customer. We have elected to treat shipping and handling costs subsequent to transfer of control as fulfillment activities and, accordingly, recognize these costs as the revenue is recognized.</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for service bodies where the customer owns the chassis, upfit and field service contracts is recognized over time, as equipment is installed in the customer’s vehicle or as repairs and enhancements are made to the customer’s vehicles. Revenue and the corresponding cost of products sold is estimated based on the inputs completed for a given performance obligation. Our receivables are generally collected in less than three months, in accordance with our underlying payment terms.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Business Combinations</w:t>
      </w:r>
      <w:r>
        <w:rPr>
          <w:rFonts w:ascii="Times New Roman" w:cs="Times New Roman" w:eastAsia="Times New Roman" w:hAnsi="Times New Roman"/>
          <w:sz w:val="14"/>
          <w:szCs w:val="14"/>
          <w:color w:val="auto"/>
        </w:rPr>
        <w:t>. When acquiring other businesses, we recognize identifiable assets acquired and liabilities assumed at their acquisition date estimated fair values, and separately from any goodwill that may be required to be recognized. Goodwill, when recognizable, is measured as the excess amount of any consideration transferred, which is measured at fair value, over the acquisition date fair values of the identifiable assets acquired and liabilities assumed.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Accounting for such acquisitions requires us to make significant assumptions and estimates and are adjusted during the measurement period for a period of up to one year after the acquisition date. Costs incurred to effect an acquisition, such as legal, accounting, valuation or other third-party costs, as well as internal general and administrative costs incurred are charged to expense in the periods incurred.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Shipping and Handling of Products</w:t>
      </w:r>
      <w:r>
        <w:rPr>
          <w:rFonts w:ascii="Times New Roman" w:cs="Times New Roman" w:eastAsia="Times New Roman" w:hAnsi="Times New Roman"/>
          <w:sz w:val="14"/>
          <w:szCs w:val="14"/>
          <w:color w:val="auto"/>
        </w:rPr>
        <w:t>. Costs incurred related to the shipment and handling of products are classified in cost of products sold. Amounts billed to customers for shipping and handling of products are included in sales.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Cash and Cash Equivalents.</w:t>
      </w:r>
      <w:r>
        <w:rPr>
          <w:rFonts w:ascii="Times New Roman" w:cs="Times New Roman" w:eastAsia="Times New Roman" w:hAnsi="Times New Roman"/>
          <w:sz w:val="14"/>
          <w:szCs w:val="14"/>
          <w:color w:val="auto"/>
        </w:rPr>
        <w:t xml:space="preserve"> Cash and cash equivalents include cash on hand, cash on deposit, treasuries and money market funds. We consider all highly liquid investments purchased with an original maturity of three months or less to be cash equivalents.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Accounts Receivable</w:t>
      </w:r>
      <w:r>
        <w:rPr>
          <w:rFonts w:ascii="Times New Roman" w:cs="Times New Roman" w:eastAsia="Times New Roman" w:hAnsi="Times New Roman"/>
          <w:sz w:val="14"/>
          <w:szCs w:val="14"/>
          <w:color w:val="auto"/>
        </w:rPr>
        <w:t>. Our receivables are subject to credit risk, and we do not typically require collateral on our accounts receivable. We perform periodic credit evaluations of our customers’ financial condition and generally require a security interest in the products sold. Receivables generally are due within 30 to 60 days. We maintain an allowance for customer accounts that reduces receivables to amounts that are expected to be collected. In estimating the allowance for doubtful accounts consistent with it reflecting related lifetime expected credit losses, management considers relevant information about past events, current conditions and reasonable and supportable forecasts that affect the collectability of financial assets.</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Inventories.</w:t>
      </w:r>
      <w:r>
        <w:rPr>
          <w:rFonts w:ascii="Times New Roman" w:cs="Times New Roman" w:eastAsia="Times New Roman" w:hAnsi="Times New Roman"/>
          <w:sz w:val="14"/>
          <w:szCs w:val="14"/>
          <w:color w:val="auto"/>
        </w:rPr>
        <w:t xml:space="preserve"> Inventories are stated at the lower of first-in, first-out cost or net realizable value. Net realizable value is the estimated selling price in the ordinary course of business less cost to sell and considers our current assessment of general market and economic conditions, slow-moving inventory, and future demands.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Contract Assets.</w:t>
      </w:r>
      <w:r>
        <w:rPr>
          <w:rFonts w:ascii="Times New Roman" w:cs="Times New Roman" w:eastAsia="Times New Roman" w:hAnsi="Times New Roman"/>
          <w:sz w:val="14"/>
          <w:szCs w:val="14"/>
          <w:color w:val="auto"/>
        </w:rPr>
        <w:t xml:space="preserve"> Contract assets arise upon the transfer of goods or services to a customer before the customer pays consideration. The Company presents the contract as either a contract asset or as a receivable, depending on the nature of the entity’s right to consideration for its performance. Contract assets are a right to consideration in exchange for goods or services that the Company has transferred to a customer, when the right is conditioned on something other than the passage of time.</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Property, Plant and Equipment.</w:t>
      </w:r>
      <w:r>
        <w:rPr>
          <w:rFonts w:ascii="Times New Roman" w:cs="Times New Roman" w:eastAsia="Times New Roman" w:hAnsi="Times New Roman"/>
          <w:sz w:val="14"/>
          <w:szCs w:val="14"/>
          <w:color w:val="auto"/>
        </w:rPr>
        <w:t xml:space="preserve"> Property, plant and equipment is stated at cost and the related assets are depreciated over their estimated useful lives on a straight-line basis for financial statement purposes and an accelerated method for income tax purposes. Cost includes an amount of interest associated with significant capital projects. Estimated useful lives range from 20 years for buildings and improvements, three to 15 years for plant machinery and equipment, three to seven years for furniture and fixtures and three to five years for vehicles. Leasehold improvements are depreciated over the shorter of the lease term or the estimated useful life of the asset. Maintenance and repair costs are charged to earnings, while expenditures that increase asset lives are capitalized. We review our property, plant and equipment, along with all other long-lived assets that have finite lives, including finite-lived intangible assets, for impairment whenever events or changes in circumstances indicate that their carrying amounts may not be recoverable. See “Note 6 </w:t>
      </w:r>
      <w:r>
        <w:rPr>
          <w:rFonts w:ascii="Times New Roman" w:cs="Times New Roman" w:eastAsia="Times New Roman" w:hAnsi="Times New Roman"/>
          <w:sz w:val="14"/>
          <w:szCs w:val="14"/>
          <w:i w:val="1"/>
          <w:iCs w:val="1"/>
          <w:color w:val="auto"/>
        </w:rPr>
        <w:t>– Property, Plant and Equipment</w:t>
      </w:r>
      <w:r>
        <w:rPr>
          <w:rFonts w:ascii="Times New Roman" w:cs="Times New Roman" w:eastAsia="Times New Roman" w:hAnsi="Times New Roman"/>
          <w:sz w:val="14"/>
          <w:szCs w:val="14"/>
          <w:color w:val="auto"/>
        </w:rPr>
        <w:t>” for further information on our property and equipment.</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Goodwill and Other Intangible Assets</w:t>
      </w:r>
      <w:r>
        <w:rPr>
          <w:rFonts w:ascii="Times New Roman" w:cs="Times New Roman" w:eastAsia="Times New Roman" w:hAnsi="Times New Roman"/>
          <w:sz w:val="14"/>
          <w:szCs w:val="14"/>
          <w:color w:val="auto"/>
        </w:rPr>
        <w:t>. Goodwill represents the excess of the cost of a business combination over the fair value of the net assets acquired. Goodwill and intangible assets deemed to have indefinite lives are not amortized but are subject to impairment tests on an annual basis, or whenever events or changes in circumstances indicate that the carrying value may not be recoverable. Goodwill is allocated to the reporting unit from which it was created. A reporting unit is an operating segment or sub-segment to which goodwill is assigned when initially recorded. We review indefinite lived intangible assets annually for impairment by comparing the carrying value of those assets to their fair value.</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intangible assets with finite lives are amortized over their estimated useful lives and are tested for impairment whenever events or changes in circumstances indicate that their carrying amounts may not be recoverable.</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perform our annual goodwill and indefinite lived intangible assets impairment test as of October 1 and monitor for interim triggering events on an ongoing basis. For goodwill we first assess qualitative factors to determine whether it is more likely than not that the fair value of a reporting unit is less than its carrying amount. Under authoritative guidance, we are not required to calculate the fair value of a reporting unit unless we determine that it is more likely than not that the fair value of the reporting unit is less than its carrying amount. We have the option to bypass the qualitative assessment and proceed to a quantitative impairment test.</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If we elect to bypass the qualitative assessment for a reporting unit, or if after completing the assessment we determine that it is more likely than not that the fair value of a reporting unit is less than its carrying value, we perform a quantitative impairment test, whereby we compare the fair value of a reporting unit with its carrying amount, including goodwill. 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estimated fair value, an impairment loss is recognized in an amount equal to the excess, up to the carrying value of the goodwill.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evaluate the recoverability of our indefinite lived intangible assets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those branded products, business trends, prospects and market and economic conditions.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Significant judgments inherent in these assessments and analyses include assumptions about macroeconomic and industry conditions,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because of changing economic and competitive conditions. The determination of fair value is highly sensitive to differences between estimated and actual cash flows and changes in the related discount rate used to evaluate the fair value of the reporting units and trade names. See “Note 5 </w:t>
      </w:r>
      <w:r>
        <w:rPr>
          <w:rFonts w:ascii="Times New Roman" w:cs="Times New Roman" w:eastAsia="Times New Roman" w:hAnsi="Times New Roman"/>
          <w:sz w:val="14"/>
          <w:szCs w:val="14"/>
          <w:i w:val="1"/>
          <w:iCs w:val="1"/>
          <w:color w:val="auto"/>
        </w:rPr>
        <w:t>– Goodwill and Intangible Assets</w:t>
      </w:r>
      <w:r>
        <w:rPr>
          <w:rFonts w:ascii="Times New Roman" w:cs="Times New Roman" w:eastAsia="Times New Roman" w:hAnsi="Times New Roman"/>
          <w:sz w:val="14"/>
          <w:szCs w:val="14"/>
          <w:color w:val="auto"/>
        </w:rPr>
        <w:t>” for further details on our goodwill and other intangible assets.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Warranties</w:t>
      </w:r>
      <w:r>
        <w:rPr>
          <w:rFonts w:ascii="Times New Roman" w:cs="Times New Roman" w:eastAsia="Times New Roman" w:hAnsi="Times New Roman"/>
          <w:sz w:val="14"/>
          <w:szCs w:val="14"/>
          <w:color w:val="auto"/>
        </w:rPr>
        <w:t xml:space="preserve">. Our policy is to record a provision for the estimated cost of warranty-related claims at the time of the sale, and periodically adjust the warranty liability to reflect actual experience. The amount of warranty liability accrued reflects management’s best estimate of the expected future cost of honoring our obligations under the warranty agreements. Expense related to warranty liabilities accrued for product sales, as well as adjustments to pre-existing warranty liabilities, are reflected within Cost of products sold on our Consolidated Statements of Operations. Our estimates are based on historical experience, the number of units involved, and the extent of features and components included in product models. See “Note 10 </w:t>
      </w:r>
      <w:r>
        <w:rPr>
          <w:rFonts w:ascii="Times New Roman" w:cs="Times New Roman" w:eastAsia="Times New Roman" w:hAnsi="Times New Roman"/>
          <w:sz w:val="14"/>
          <w:szCs w:val="14"/>
          <w:i w:val="1"/>
          <w:iCs w:val="1"/>
          <w:color w:val="auto"/>
        </w:rPr>
        <w:t>– Commitments and Contingent Liabilities</w:t>
      </w:r>
      <w:r>
        <w:rPr>
          <w:rFonts w:ascii="Times New Roman" w:cs="Times New Roman" w:eastAsia="Times New Roman" w:hAnsi="Times New Roman"/>
          <w:sz w:val="14"/>
          <w:szCs w:val="14"/>
          <w:color w:val="auto"/>
        </w:rPr>
        <w:t>” for further information regarding warranties.</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u w:val="single" w:color="auto"/>
          <w:color w:val="auto"/>
        </w:rPr>
        <w:t>Contract Liabilities</w:t>
      </w:r>
      <w:r>
        <w:rPr>
          <w:rFonts w:ascii="Times New Roman" w:cs="Times New Roman" w:eastAsia="Times New Roman" w:hAnsi="Times New Roman"/>
          <w:sz w:val="14"/>
          <w:szCs w:val="14"/>
          <w:color w:val="auto"/>
        </w:rPr>
        <w:t>. We sometimes receive advance payments from customers for product orders and record these amounts as liabilities. We accept such deposits when presented by customers seeking improved pricing in connection with orders that are placed for products to be manufactured and sold at a future date. Sales associated with these deposits are recognized over time based on the inputs completed for a given performance obligation during the reporting period or deferred and recognized upon shipment of the related product to the customer depending on the terms of the contract.</w:t>
      </w:r>
    </w:p>
    <w:p>
      <w:pPr>
        <w:spacing w:after="0" w:line="3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Research and Development</w:t>
      </w:r>
      <w:r>
        <w:rPr>
          <w:rFonts w:ascii="Times New Roman" w:cs="Times New Roman" w:eastAsia="Times New Roman" w:hAnsi="Times New Roman"/>
          <w:sz w:val="14"/>
          <w:szCs w:val="14"/>
          <w:color w:val="auto"/>
        </w:rPr>
        <w:t>. Our research and development costs, which consist of compensation costs, travel and entertainment, administrative expenses and new product development among other items, are expensed as incurred.</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Taxes on Income</w:t>
      </w:r>
      <w:r>
        <w:rPr>
          <w:rFonts w:ascii="Times New Roman" w:cs="Times New Roman" w:eastAsia="Times New Roman" w:hAnsi="Times New Roman"/>
          <w:sz w:val="14"/>
          <w:szCs w:val="14"/>
          <w:color w:val="auto"/>
        </w:rPr>
        <w:t>. We recognize deferred income tax assets and liabilities using enacted tax rates for the effect of temporary differences between the book and tax bases of recorded assets and liabilities. Deferred tax liabilities or assets are recognized for the estimated future tax effects attributable to temporary differences and carryforwards that result from events that have been recognized in either the financial statements or the tax returns, but not both.</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establish valuation allowances for deferred income tax assets in accordance with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we consider the scheduled reversal of deferred tax liabilities, available taxes in carryback periods, tax planning strategies and projected future taxable income in making this assessment.</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we believe the estimates are reasonable, no assurance can be given that the final outcome of these matters will not be different than what is reflected in the historical income tax provisions and accruals.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Interest and penalties attributable to income taxes are recorded as a component of income taxes. See “Note 8 </w:t>
      </w:r>
      <w:r>
        <w:rPr>
          <w:rFonts w:ascii="Times New Roman" w:cs="Times New Roman" w:eastAsia="Times New Roman" w:hAnsi="Times New Roman"/>
          <w:sz w:val="14"/>
          <w:szCs w:val="14"/>
          <w:i w:val="1"/>
          <w:iCs w:val="1"/>
          <w:color w:val="auto"/>
        </w:rPr>
        <w:t>– Taxes on Income</w:t>
      </w:r>
      <w:r>
        <w:rPr>
          <w:rFonts w:ascii="Times New Roman" w:cs="Times New Roman" w:eastAsia="Times New Roman" w:hAnsi="Times New Roman"/>
          <w:sz w:val="14"/>
          <w:szCs w:val="14"/>
          <w:color w:val="auto"/>
        </w:rPr>
        <w:t>” for further details on our income taxes.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Earnings Per Share</w:t>
      </w:r>
      <w:r>
        <w:rPr>
          <w:rFonts w:ascii="Times New Roman" w:cs="Times New Roman" w:eastAsia="Times New Roman" w:hAnsi="Times New Roman"/>
          <w:sz w:val="14"/>
          <w:szCs w:val="14"/>
          <w:color w:val="auto"/>
        </w:rPr>
        <w:t>. Basic earnings per share is based on the weighted average number of common shares outstanding during the period. Diluted earnings per share also include the dilutive effect of additional potential common shares issuable from stock-based awards and are determined using the treasury stock method. Basic earnings per share represents net earnings divided by basic weighted average number of common shares outstanding during the period. Diluted earnings per share represents net earnings divided by diluted weighted average number of common shares outstanding, which includes the average dilutive effect of all potentially dilutive securities that are outstanding during the period. Our unvested restricted stock units and performance stock units are included in the number of shares outstanding for diluted earnings per share calculations, unless a net loss is reported, in which situation unvested stock awards are excluded from the number of shares outstanding for diluted earnings per share calculations. See “Note 13</w:t>
      </w:r>
      <w:r>
        <w:rPr>
          <w:rFonts w:ascii="Times New Roman" w:cs="Times New Roman" w:eastAsia="Times New Roman" w:hAnsi="Times New Roman"/>
          <w:sz w:val="14"/>
          <w:szCs w:val="14"/>
          <w:i w:val="1"/>
          <w:iCs w:val="1"/>
          <w:color w:val="auto"/>
        </w:rPr>
        <w:t>– Stock-Based Compensation</w:t>
      </w:r>
      <w:r>
        <w:rPr>
          <w:rFonts w:ascii="Times New Roman" w:cs="Times New Roman" w:eastAsia="Times New Roman" w:hAnsi="Times New Roman"/>
          <w:sz w:val="14"/>
          <w:szCs w:val="14"/>
          <w:color w:val="auto"/>
        </w:rPr>
        <w:t xml:space="preserve">” and “Note 15 </w:t>
      </w:r>
      <w:r>
        <w:rPr>
          <w:rFonts w:ascii="Times New Roman" w:cs="Times New Roman" w:eastAsia="Times New Roman" w:hAnsi="Times New Roman"/>
          <w:sz w:val="14"/>
          <w:szCs w:val="14"/>
          <w:i w:val="1"/>
          <w:iCs w:val="1"/>
          <w:color w:val="auto"/>
        </w:rPr>
        <w:t>– Earnings Per Share</w:t>
      </w:r>
      <w:r>
        <w:rPr>
          <w:rFonts w:ascii="Times New Roman" w:cs="Times New Roman" w:eastAsia="Times New Roman" w:hAnsi="Times New Roman"/>
          <w:sz w:val="14"/>
          <w:szCs w:val="14"/>
          <w:color w:val="auto"/>
        </w:rPr>
        <w:t>” for further details.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Stock-Based Compensation</w:t>
      </w:r>
      <w:r>
        <w:rPr>
          <w:rFonts w:ascii="Times New Roman" w:cs="Times New Roman" w:eastAsia="Times New Roman" w:hAnsi="Times New Roman"/>
          <w:sz w:val="14"/>
          <w:szCs w:val="14"/>
          <w:color w:val="auto"/>
        </w:rPr>
        <w:t xml:space="preserve">. Stock based compensation cost for equity-based awards is measured on the grant date based on the estimated fair value of the award at that date, and is recognized over the requisite service period, net of estimated forfeitures. Fair value of restricted stock awards, restricted stock units and performance stock units subject to a performance condition is based upon the quoted market price of the common stock on the date of grant. Fair value of performance stock units subject to a market condition is calculated using the Monte Carlo simulation model. Our stock-based compensation plans are described in more detail in “Note 13 </w:t>
      </w:r>
      <w:r>
        <w:rPr>
          <w:rFonts w:ascii="Times New Roman" w:cs="Times New Roman" w:eastAsia="Times New Roman" w:hAnsi="Times New Roman"/>
          <w:sz w:val="14"/>
          <w:szCs w:val="14"/>
          <w:i w:val="1"/>
          <w:iCs w:val="1"/>
          <w:color w:val="auto"/>
        </w:rPr>
        <w:t>– Stock Based Compensation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Fair Value</w:t>
      </w:r>
      <w:r>
        <w:rPr>
          <w:rFonts w:ascii="Times New Roman" w:cs="Times New Roman" w:eastAsia="Times New Roman" w:hAnsi="Times New Roman"/>
          <w:sz w:val="14"/>
          <w:szCs w:val="14"/>
          <w:color w:val="auto"/>
        </w:rPr>
        <w:t>. We are required to disclose the estimated fair value of our financial instruments. The carrying value at December 31, 2024 and 2023 of cash and cash equivalents, accounts receivable and accounts payable approximate their fair value due to their short-term nature. The carrying value of variable rate debt instruments approximate their fair value based on their relative terms and market rates.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Segment Reporting.</w:t>
      </w:r>
      <w:r>
        <w:rPr>
          <w:rFonts w:ascii="Times New Roman" w:cs="Times New Roman" w:eastAsia="Times New Roman" w:hAnsi="Times New Roman"/>
          <w:sz w:val="14"/>
          <w:szCs w:val="14"/>
          <w:color w:val="auto"/>
        </w:rPr>
        <w:t xml:space="preserve"> We identify our reportable segments based on our management structure and the financial data utilized by the chief operating decision maker to assess segment performance and allocate resources among our operating units. We have two reportable segments: Fleet Vehicles and Services and Specialty Vehicles. More detailed information about our reportable segments can be found in “Note 16 </w:t>
      </w:r>
      <w:r>
        <w:rPr>
          <w:rFonts w:ascii="Times New Roman" w:cs="Times New Roman" w:eastAsia="Times New Roman" w:hAnsi="Times New Roman"/>
          <w:sz w:val="14"/>
          <w:szCs w:val="14"/>
          <w:i w:val="1"/>
          <w:iCs w:val="1"/>
          <w:color w:val="auto"/>
        </w:rPr>
        <w:t>– Business Segments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Supplemental Disclosures of Cash Flow Information.</w:t>
      </w:r>
      <w:r>
        <w:rPr>
          <w:rFonts w:ascii="Times New Roman" w:cs="Times New Roman" w:eastAsia="Times New Roman" w:hAnsi="Times New Roman"/>
          <w:sz w:val="14"/>
          <w:szCs w:val="14"/>
          <w:color w:val="auto"/>
        </w:rPr>
        <w:t xml:space="preserve"> Cash paid for interest was $8,011, $5,620 and $2,176 for 2024, 2023, and 2022. Cash paid for income taxes, net of refunds, was $5,071, $5,585 and $1,319 for 2024, 2023, and 2022. Non-cash investing included $1,151 of capital expenditures in 2024, $5,585 in 2023, and $2,489 in 2022. The Company has Chassis Pool Agreements, where it participates in a chassis converter pool that is a non-cash arrangement and is offsetting between current assets and current liabilities on the Company’s Consolidated Balance Sheets. See “Note 12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 about the Chassis Pool Agreements. On July 24, 2024, the Company acquired 100% of the outstanding membership interests of ITU Holdings, Inc. and its subsidiary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Independent Truck Upfitters, LLC, which included non-cash consideration for 2024 of up to an additional $8,000 earn-out amount subject to meeting certain performance criteria within the first two years after the acquisition. In 2024, non-cash financing included $3,257 of taxes withheld associated with the vesting of stock incentive awards.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Recently Adopted Accounting Standards.</w:t>
      </w:r>
      <w:r>
        <w:rPr>
          <w:rFonts w:ascii="Times New Roman" w:cs="Times New Roman" w:eastAsia="Times New Roman" w:hAnsi="Times New Roman"/>
          <w:sz w:val="14"/>
          <w:szCs w:val="14"/>
          <w:color w:val="auto"/>
        </w:rPr>
        <w:t xml:space="preserve"> In November 2023, the FASB issued Accounting Standards Update No. 2023-07, Segment Reporting (Topic 280): Improvements to Reportable Segment Disclosures (“ASU 2023-07”). ASU 2023-07 is intended to improve financial reporting by requiring disclosure of incremental segment information on an annual and interim basis for all public entities to enable investors to develop more decision-useful financial analyses. The amendments in ASU 2023-07 are effective for fiscal years beginning after December 15, 2023, and interim periods within fiscal years beginning after December 15, 2024. We adopted ASU 2023-07 as of December 31, 2024 and applied the amendments retrospectively to all prior periods presented in the financial statements.</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Recently issued accounting pronouncements not yet adopted.</w:t>
      </w:r>
      <w:r>
        <w:rPr>
          <w:rFonts w:ascii="Times New Roman" w:cs="Times New Roman" w:eastAsia="Times New Roman" w:hAnsi="Times New Roman"/>
          <w:sz w:val="14"/>
          <w:szCs w:val="14"/>
          <w:color w:val="auto"/>
        </w:rPr>
        <w:t xml:space="preserve"> 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result in the required additional disclosures being included in our consolidated financial statements, once adopted. We are currently evaluating the provisions of this ASU.</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b w:val="1"/>
          <w:bCs w:val="1"/>
          <w:i w:val="1"/>
          <w:iCs w:val="1"/>
          <w:color w:val="auto"/>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ACQUISITION ACTIVITIES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24, 2024, the Company acquired 100% of the outstanding membership interests of ITU Holdings, Inc. and its subsidiary Independent Truck Upfitters, LLC (collectively “ITU”) for cash consideration of $50,889 and up to an additional $8,000 earn-out amount subject to meeting certain performance criteria within the first two years after the acquisition. ITU serves utility, construction, and fleet management companies with custom solutions, including bodies, crane packages, liftgates, and aftermarket accessories for commercial work trucks. Specializing in larger vehicles and complex service body upfitting, ITU enables Shyft to enter new markets and capture a greater share of higher class-sized products.</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2024, the Company received a partial payment for net working capital adjustment, resulting in a decrease in the cash consideration and to the purchase price of $1,000. The purchase price was funded with cash on hand and borrowings under our existing credit facility. We recorded pretax charges totaling $1,576 in 2024 for legal expenses and other transaction costs related to the acquisition, which were reported in Selling, general and administrative expense on the Condensed Consolidated Statements of Operations. ITU is part of our Specialty Vehicle segment.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ITU acquisition was accounted for using the acquisition method of accounting with the purchase price allocated to the assets purchased and liabilities assumed based upon their estimated fair values at the date of acquisition. Identifiable intangible assets include customer relationships, backlog, trade names and trademarks, unpatented technology and non-competition agreements. The excess of the purchase price over the estimated fair values of the tangible and intangible assets acquired of $15,214 was recorded as goodwill, which is expected to be deductible for tax purposes.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accordance with ASC 805, the allocation of the purchase price for the acquisition of ITU is preliminary and subject to adjustment during the measurement period, which may extend up to one year from the acquisition date. The initial allocation of assets acquired and liabilities assumed is based on preliminary estimates and assumptions, and as such, the values assigned to certain working capital balances, identifiable intangible assets, and contingent liabilities may be adjusted as additional information becomes available. These adjustments could result in changes to the amounts recognized in the consolidated financial statements, including potential adjustments to goodwill. The Company will continue to refine its estimates and assumptions as it obtains more information, and any adjustments identified during the measurement period will be recognized in the reporting period in which the adjustments are determined.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The preliminary purchase price was comprised of the following:</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9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Preliminary purchase price:</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Cash paid</w:t>
            </w: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49,889</w:t>
            </w:r>
          </w:p>
        </w:tc>
        <w:tc>
          <w:tcPr>
            <w:tcW w:w="100" w:type="dxa"/>
            <w:vAlign w:val="bottom"/>
          </w:tcPr>
          <w:p>
            <w:pPr>
              <w:spacing w:after="0"/>
              <w:rPr>
                <w:sz w:val="14"/>
                <w:szCs w:val="14"/>
                <w:color w:val="auto"/>
              </w:rPr>
            </w:pPr>
          </w:p>
        </w:tc>
      </w:tr>
      <w:tr>
        <w:trPr>
          <w:trHeight w:val="170"/>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contingent consideration</w:t>
            </w: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1"/>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Total preliminary purchase price</w:t>
            </w:r>
          </w:p>
        </w:tc>
        <w:tc>
          <w:tcPr>
            <w:tcW w:w="5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54,189</w:t>
            </w:r>
          </w:p>
        </w:tc>
        <w:tc>
          <w:tcPr>
            <w:tcW w:w="100" w:type="dxa"/>
            <w:vAlign w:val="bottom"/>
          </w:tcPr>
          <w:p>
            <w:pPr>
              <w:spacing w:after="0"/>
              <w:rPr>
                <w:sz w:val="13"/>
                <w:szCs w:val="13"/>
                <w:color w:val="auto"/>
              </w:rPr>
            </w:pP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recorded a current and a non-current contingent consideration liability for the earn-out at a fair value of $2,680 and $1,620, respectively, as of December 31, 2024. The fair value was estimated using a Monte Carlo simulation to model the likelihood of achieving the agreed-upon performance criteria based on available information as of the acquisition date. The valuation methodology includes assumptions and judgments regarding the discount rate, estimated probability of achieving the performance criteria, and expected timing of payments.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0"/>
        </w:trPr>
        <w:tc>
          <w:tcPr>
            <w:tcW w:w="97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7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97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1"/>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2024, the preliminary purchase price allocation to the fair value of assets acquired and liabilities assumed is as follows: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identifiable assets and liabilities: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00" w:type="dxa"/>
            <w:vAlign w:val="bottom"/>
            <w:shd w:val="clear" w:color="auto" w:fill="CCEEFF"/>
          </w:tcPr>
          <w:p>
            <w:pPr>
              <w:spacing w:after="0"/>
              <w:rPr>
                <w:sz w:val="14"/>
                <w:szCs w:val="14"/>
                <w:color w:val="auto"/>
              </w:rPr>
            </w:pPr>
          </w:p>
        </w:tc>
      </w:tr>
      <w:tr>
        <w:trPr>
          <w:trHeight w:val="17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w:t>
            </w:r>
          </w:p>
        </w:tc>
        <w:tc>
          <w:tcPr>
            <w:tcW w:w="100" w:type="dxa"/>
            <w:vAlign w:val="bottom"/>
          </w:tcPr>
          <w:p>
            <w:pPr>
              <w:spacing w:after="0"/>
              <w:rPr>
                <w:sz w:val="14"/>
                <w:szCs w:val="14"/>
                <w:color w:val="auto"/>
              </w:rPr>
            </w:pP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w:t>
            </w:r>
          </w:p>
        </w:tc>
      </w:tr>
      <w:tr>
        <w:trPr>
          <w:trHeight w:val="17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Inventory</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10,711</w:t>
            </w:r>
          </w:p>
        </w:tc>
        <w:tc>
          <w:tcPr>
            <w:tcW w:w="100" w:type="dxa"/>
            <w:vAlign w:val="bottom"/>
          </w:tcPr>
          <w:p>
            <w:pPr>
              <w:spacing w:after="0"/>
              <w:rPr>
                <w:sz w:val="14"/>
                <w:szCs w:val="14"/>
                <w:color w:val="auto"/>
              </w:rPr>
            </w:pP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4"/>
                <w:szCs w:val="14"/>
                <w:color w:val="auto"/>
              </w:rPr>
            </w:pPr>
          </w:p>
        </w:tc>
      </w:tr>
      <w:tr>
        <w:trPr>
          <w:trHeight w:val="17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tcPr>
          <w:p>
            <w:pPr>
              <w:spacing w:after="0"/>
              <w:rPr>
                <w:sz w:val="14"/>
                <w:szCs w:val="14"/>
                <w:color w:val="auto"/>
              </w:rPr>
            </w:pP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 of use assets-operating leases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r>
      <w:tr>
        <w:trPr>
          <w:trHeight w:val="17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18,650</w:t>
            </w:r>
          </w:p>
        </w:tc>
      </w:tr>
      <w:tr>
        <w:trPr>
          <w:trHeight w:val="17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15,214</w:t>
            </w:r>
          </w:p>
        </w:tc>
      </w:tr>
      <w:tr>
        <w:trPr>
          <w:trHeight w:val="20"/>
        </w:trPr>
        <w:tc>
          <w:tcPr>
            <w:tcW w:w="9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9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assets acquired</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61,477</w:t>
            </w:r>
          </w:p>
        </w:tc>
      </w:tr>
      <w:tr>
        <w:trPr>
          <w:trHeight w:val="170"/>
        </w:trPr>
        <w:tc>
          <w:tcPr>
            <w:tcW w:w="9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(6,395)</w:t>
            </w:r>
          </w:p>
        </w:tc>
      </w:tr>
      <w:tr>
        <w:trPr>
          <w:trHeight w:val="17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r>
      <w:tr>
        <w:trPr>
          <w:trHeight w:val="17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accrued expenses</w:t>
            </w: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(843)</w:t>
            </w: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97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assumed</w:t>
            </w:r>
          </w:p>
        </w:tc>
        <w:tc>
          <w:tcPr>
            <w:tcW w:w="5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(7,288)</w:t>
            </w:r>
          </w:p>
        </w:tc>
      </w:tr>
      <w:tr>
        <w:trPr>
          <w:trHeight w:val="201"/>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fair value allocation of preliminary purchase price</w:t>
            </w:r>
          </w:p>
        </w:tc>
        <w:tc>
          <w:tcPr>
            <w:tcW w:w="560" w:type="dxa"/>
            <w:vAlign w:val="bottom"/>
            <w:tcBorders>
              <w:top w:val="single" w:sz="8" w:color="auto"/>
              <w:bottom w:val="single" w:sz="8" w:color="auto"/>
            </w:tcBorders>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54,189</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Intangible assets totaling $18,650 have provisionally been assigned to customer relationships, backlog, trade names and trademarks, unpatented technology and non-competition agreements as a result of the acquisition and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Weighted Average</w:t>
            </w:r>
          </w:p>
        </w:tc>
      </w:tr>
      <w:tr>
        <w:trPr>
          <w:trHeight w:val="170"/>
        </w:trPr>
        <w:tc>
          <w:tcPr>
            <w:tcW w:w="6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Amortization Period (in</w:t>
            </w:r>
          </w:p>
        </w:tc>
      </w:tr>
      <w:tr>
        <w:trPr>
          <w:trHeight w:val="184"/>
        </w:trPr>
        <w:tc>
          <w:tcPr>
            <w:tcW w:w="63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Useful Life (in years)</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00" w:type="dxa"/>
            <w:vAlign w:val="bottom"/>
          </w:tcPr>
          <w:p>
            <w:pPr>
              <w:spacing w:after="0"/>
              <w:rPr>
                <w:sz w:val="16"/>
                <w:szCs w:val="16"/>
                <w:color w:val="auto"/>
              </w:rPr>
            </w:pPr>
          </w:p>
        </w:tc>
      </w:tr>
      <w:tr>
        <w:trPr>
          <w:trHeight w:val="161"/>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102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2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3"/>
                <w:szCs w:val="13"/>
                <w:color w:val="auto"/>
              </w:rPr>
            </w:pPr>
          </w:p>
        </w:tc>
      </w:tr>
      <w:tr>
        <w:trPr>
          <w:trHeight w:val="17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Backlog</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220" w:type="dxa"/>
            <w:vAlign w:val="bottom"/>
          </w:tcPr>
          <w:p>
            <w:pPr>
              <w:spacing w:after="0"/>
              <w:rPr>
                <w:sz w:val="14"/>
                <w:szCs w:val="1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 and trademarks</w:t>
            </w: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2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Unpatented technology</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220" w:type="dxa"/>
            <w:vAlign w:val="bottom"/>
          </w:tcPr>
          <w:p>
            <w:pPr>
              <w:spacing w:after="0"/>
              <w:rPr>
                <w:sz w:val="14"/>
                <w:szCs w:val="1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Non-competition agreements</w:t>
            </w: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4"/>
                <w:szCs w:val="14"/>
                <w:color w:val="auto"/>
              </w:rPr>
            </w:pPr>
          </w:p>
        </w:tc>
      </w:tr>
      <w:tr>
        <w:trPr>
          <w:trHeight w:val="161"/>
        </w:trPr>
        <w:tc>
          <w:tcPr>
            <w:tcW w:w="6340" w:type="dxa"/>
            <w:vAlign w:val="bottom"/>
            <w:tcBorders>
              <w:top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18,650</w:t>
            </w:r>
          </w:p>
        </w:tc>
        <w:tc>
          <w:tcPr>
            <w:tcW w:w="220" w:type="dxa"/>
            <w:vAlign w:val="bottom"/>
            <w:tcBorders>
              <w:top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top w:val="single" w:sz="8" w:color="CCEEFF"/>
            </w:tcBorders>
          </w:tcPr>
          <w:p>
            <w:pPr>
              <w:spacing w:after="0"/>
              <w:rPr>
                <w:sz w:val="13"/>
                <w:szCs w:val="13"/>
                <w:color w:val="auto"/>
              </w:rPr>
            </w:pPr>
          </w:p>
        </w:tc>
      </w:tr>
      <w:tr>
        <w:trPr>
          <w:trHeight w:val="20"/>
        </w:trPr>
        <w:tc>
          <w:tcPr>
            <w:tcW w:w="6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 amortizes the customer relationships utilizing an accelerated approach and amortizes backlog, trade names and trademarks, unpatented technology and non-competition agreement assets utilizing a straight-line approach. Amortization expense, as a part of Selling, general and administrative expense as presented on the Consolidated Statement of Operations, was $1,378 for 2024.</w:t>
      </w: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Goodwill consists of operational synergies that are expected to be realized in both the short and long-term and the opportunity to enter into new markets which will enable us to increase value to our customers and shareholders. Key areas of expected cost savings include an expanded dealer network, complementary product portfolios and manufacturing and supply chain work process improvements.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to its insignificant size relative to the Company, supplemental pro forma financial information of the combined entity for the prior reporting period is not provided.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NOTE 3 – REVENUE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75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Contract Assets and Liabilities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tables below disclose changes in contract assets and liabilities as of the periods indicated.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97"/>
              </w:rPr>
              <w:t>Contract Assets</w:t>
            </w:r>
          </w:p>
        </w:tc>
        <w:tc>
          <w:tcPr>
            <w:tcW w:w="6380" w:type="dxa"/>
            <w:vAlign w:val="bottom"/>
            <w:tcBorders>
              <w:bottom w:val="single" w:sz="8" w:color="CCEEFF"/>
            </w:tcBorders>
            <w:gridSpan w:val="3"/>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Contract assets, beginning of year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50,305</w:t>
            </w:r>
          </w:p>
        </w:tc>
        <w:tc>
          <w:tcPr>
            <w:tcW w:w="1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of the beginning contract assets to receivables, as the result of rights to consideration becoming unconditional</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(50,193)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(86,627)</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Contract assets recognized, net of reclassification to receivables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 end of year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40,896</w:t>
            </w:r>
          </w:p>
        </w:tc>
        <w:tc>
          <w:tcPr>
            <w:tcW w:w="1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58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260" w:type="dxa"/>
            <w:vAlign w:val="bottom"/>
            <w:gridSpan w:val="4"/>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Contract Liabilities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Contract liabilities, beginning of year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4,756</w:t>
            </w:r>
          </w:p>
        </w:tc>
        <w:tc>
          <w:tcPr>
            <w:tcW w:w="1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of the beginning contract liabilities to revenue, as the result of performance obligations satisfied</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(5,182)</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Cash received in advance and not recognized as revenue</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 end of year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aggregate amount of the transaction price allocated to remaining performance obligations in existing contracts that are yet to be completed in the FVS and SV segments are $244,784 and $68,460, respectively, with substantially all revenue expected to be recognized within one year as of December 31, 2024.</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performance obligations that are satisfied over time, revenue is expected to be recognized over the time period to complete the contract. For performance obligations that are satisfied at a point in time, revenue is expected to be recognized when the customer obtains control of the product, which is generally upon shipment from our facility. No amounts have been excluded from the transaction prices above related to the guidance on constraining estimates of variable consideration.</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following tables, revenue is disaggregated by primary geographical market and timing of revenue recognition for the years ended December 31, 2024, 2023, and 2022. The tables also include a reconciliation of the disaggregated revenue with the reportable segments.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8"/>
          </w:tcPr>
          <w:p>
            <w:pPr>
              <w:jc w:val="right"/>
              <w:ind w:right="124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46"/>
        </w:trPr>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0"/>
        </w:trPr>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Reportable</w:t>
            </w:r>
          </w:p>
        </w:tc>
        <w:tc>
          <w:tcPr>
            <w:tcW w:w="10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Eliminations and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4"/>
        </w:trPr>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FVS</w:t>
            </w:r>
          </w:p>
        </w:tc>
        <w:tc>
          <w:tcPr>
            <w:tcW w:w="28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SV</w:t>
            </w:r>
          </w:p>
        </w:tc>
        <w:tc>
          <w:tcPr>
            <w:tcW w:w="18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Segments</w:t>
            </w:r>
          </w:p>
        </w:tc>
        <w:tc>
          <w:tcPr>
            <w:tcW w:w="100" w:type="dxa"/>
            <w:vAlign w:val="bottom"/>
          </w:tcPr>
          <w:p>
            <w:pPr>
              <w:spacing w:after="0"/>
              <w:rPr>
                <w:sz w:val="16"/>
                <w:szCs w:val="16"/>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6"/>
                <w:szCs w:val="16"/>
                <w:color w:val="auto"/>
              </w:rPr>
            </w:pPr>
          </w:p>
        </w:tc>
      </w:tr>
      <w:tr>
        <w:trPr>
          <w:trHeight w:val="141"/>
        </w:trPr>
        <w:tc>
          <w:tcPr>
            <w:tcW w:w="560" w:type="dxa"/>
            <w:vAlign w:val="bottom"/>
          </w:tcPr>
          <w:p>
            <w:pPr>
              <w:spacing w:after="0"/>
              <w:rPr>
                <w:sz w:val="12"/>
                <w:szCs w:val="12"/>
                <w:color w:val="auto"/>
              </w:rPr>
            </w:pPr>
          </w:p>
        </w:tc>
        <w:tc>
          <w:tcPr>
            <w:tcW w:w="17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Primary geographical markets</w:t>
            </w:r>
          </w:p>
        </w:tc>
        <w:tc>
          <w:tcPr>
            <w:tcW w:w="1420" w:type="dxa"/>
            <w:vAlign w:val="bottom"/>
            <w:tcBorders>
              <w:bottom w:val="single" w:sz="8" w:color="CCEEFF"/>
            </w:tcBorders>
            <w:gridSpan w:val="2"/>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Pr>
          <w:p>
            <w:pPr>
              <w:spacing w:after="0"/>
              <w:rPr>
                <w:sz w:val="12"/>
                <w:szCs w:val="12"/>
                <w:color w:val="auto"/>
              </w:rPr>
            </w:pPr>
          </w:p>
        </w:tc>
      </w:tr>
      <w:tr>
        <w:trPr>
          <w:trHeight w:val="170"/>
        </w:trPr>
        <w:tc>
          <w:tcPr>
            <w:tcW w:w="560" w:type="dxa"/>
            <w:vAlign w:val="bottom"/>
          </w:tcPr>
          <w:p>
            <w:pPr>
              <w:spacing w:after="0"/>
              <w:rPr>
                <w:sz w:val="14"/>
                <w:szCs w:val="14"/>
                <w:color w:val="auto"/>
              </w:rPr>
            </w:pPr>
          </w:p>
        </w:tc>
        <w:tc>
          <w:tcPr>
            <w:tcW w:w="31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386,671</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346,979</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733,650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4,095</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737,745</w:t>
            </w:r>
          </w:p>
        </w:tc>
        <w:tc>
          <w:tcPr>
            <w:tcW w:w="58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31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47,522</w:t>
            </w: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48,431</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48,431</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560" w:type="dxa"/>
            <w:vAlign w:val="bottom"/>
          </w:tcPr>
          <w:p>
            <w:pPr>
              <w:spacing w:after="0"/>
              <w:rPr>
                <w:sz w:val="13"/>
                <w:szCs w:val="13"/>
                <w:color w:val="auto"/>
              </w:rPr>
            </w:pPr>
          </w:p>
        </w:tc>
        <w:tc>
          <w:tcPr>
            <w:tcW w:w="31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sales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434,193</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347,888</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782,081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4,095</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786,176</w:t>
            </w:r>
          </w:p>
        </w:tc>
        <w:tc>
          <w:tcPr>
            <w:tcW w:w="580" w:type="dxa"/>
            <w:vAlign w:val="bottom"/>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1740" w:type="dxa"/>
            <w:vAlign w:val="bottom"/>
            <w:tcBorders>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color w:val="auto"/>
              </w:rPr>
              <w:t>Timing of revenue recognition</w:t>
            </w: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6"/>
        </w:trPr>
        <w:tc>
          <w:tcPr>
            <w:tcW w:w="560" w:type="dxa"/>
            <w:vAlign w:val="bottom"/>
          </w:tcPr>
          <w:p>
            <w:pPr>
              <w:spacing w:after="0"/>
              <w:rPr>
                <w:sz w:val="15"/>
                <w:szCs w:val="15"/>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Products transferred at a point in time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66,855</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130,001</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196,856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4,268</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201,124</w:t>
            </w:r>
          </w:p>
        </w:tc>
        <w:tc>
          <w:tcPr>
            <w:tcW w:w="580" w:type="dxa"/>
            <w:vAlign w:val="bottom"/>
          </w:tcPr>
          <w:p>
            <w:pPr>
              <w:spacing w:after="0"/>
              <w:rPr>
                <w:sz w:val="15"/>
                <w:szCs w:val="15"/>
                <w:color w:val="auto"/>
              </w:rPr>
            </w:pPr>
          </w:p>
        </w:tc>
      </w:tr>
      <w:tr>
        <w:trPr>
          <w:trHeight w:val="170"/>
        </w:trPr>
        <w:tc>
          <w:tcPr>
            <w:tcW w:w="560" w:type="dxa"/>
            <w:vAlign w:val="bottom"/>
          </w:tcPr>
          <w:p>
            <w:pPr>
              <w:spacing w:after="0"/>
              <w:rPr>
                <w:sz w:val="14"/>
                <w:szCs w:val="14"/>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Products and services transferred over time</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367,338</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217,887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(173)</w:t>
            </w:r>
          </w:p>
        </w:tc>
        <w:tc>
          <w:tcPr>
            <w:tcW w:w="30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585,052</w:t>
            </w:r>
          </w:p>
        </w:tc>
        <w:tc>
          <w:tcPr>
            <w:tcW w:w="580" w:type="dxa"/>
            <w:vAlign w:val="bottom"/>
          </w:tcPr>
          <w:p>
            <w:pPr>
              <w:spacing w:after="0"/>
              <w:rPr>
                <w:sz w:val="14"/>
                <w:szCs w:val="14"/>
                <w:color w:val="auto"/>
              </w:rPr>
            </w:pPr>
          </w:p>
        </w:tc>
      </w:tr>
      <w:tr>
        <w:trPr>
          <w:trHeight w:val="201"/>
        </w:trPr>
        <w:tc>
          <w:tcPr>
            <w:tcW w:w="560" w:type="dxa"/>
            <w:vAlign w:val="bottom"/>
          </w:tcPr>
          <w:p>
            <w:pPr>
              <w:spacing w:after="0"/>
              <w:rPr>
                <w:sz w:val="17"/>
                <w:szCs w:val="17"/>
                <w:color w:val="auto"/>
              </w:rPr>
            </w:pPr>
          </w:p>
        </w:tc>
        <w:tc>
          <w:tcPr>
            <w:tcW w:w="31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sales</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434,193</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347,888</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782,081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786,176</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311"/>
        </w:trPr>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87"/>
        </w:trPr>
        <w:tc>
          <w:tcPr>
            <w:tcW w:w="56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314"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color w:val="auto"/>
                <w:w w:val="99"/>
              </w:rPr>
              <w:t>Year Ended December 31, 2023</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Reportable</w:t>
            </w:r>
          </w:p>
        </w:tc>
        <w:tc>
          <w:tcPr>
            <w:tcW w:w="100" w:type="dxa"/>
            <w:vAlign w:val="bottom"/>
          </w:tcPr>
          <w:p>
            <w:pPr>
              <w:spacing w:after="0"/>
              <w:rPr>
                <w:sz w:val="14"/>
                <w:szCs w:val="14"/>
                <w:color w:val="auto"/>
              </w:rPr>
            </w:pPr>
          </w:p>
        </w:tc>
        <w:tc>
          <w:tcPr>
            <w:tcW w:w="13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color w:val="auto"/>
              </w:rPr>
              <w:t>Eliminations 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FVS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SV</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w w:val="99"/>
              </w:rPr>
              <w:t>Segments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60" w:type="dxa"/>
            <w:vAlign w:val="bottom"/>
          </w:tcPr>
          <w:p>
            <w:pPr>
              <w:spacing w:after="0"/>
              <w:rPr>
                <w:sz w:val="12"/>
                <w:szCs w:val="12"/>
                <w:color w:val="auto"/>
              </w:rPr>
            </w:pPr>
          </w:p>
        </w:tc>
        <w:tc>
          <w:tcPr>
            <w:tcW w:w="17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Primary geographical markets</w:t>
            </w:r>
          </w:p>
        </w:tc>
        <w:tc>
          <w:tcPr>
            <w:tcW w:w="1440" w:type="dxa"/>
            <w:vAlign w:val="bottom"/>
            <w:tcBorders>
              <w:bottom w:val="single" w:sz="8" w:color="CCEEFF"/>
              <w:right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left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left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31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517,116</w:t>
            </w:r>
          </w:p>
        </w:tc>
        <w:tc>
          <w:tcPr>
            <w:tcW w:w="180" w:type="dxa"/>
            <w:vAlign w:val="bottom"/>
          </w:tcPr>
          <w:p>
            <w:pPr>
              <w:spacing w:after="0"/>
              <w:rPr>
                <w:sz w:val="14"/>
                <w:szCs w:val="14"/>
                <w:color w:val="auto"/>
              </w:rPr>
            </w:pPr>
          </w:p>
        </w:tc>
        <w:tc>
          <w:tcPr>
            <w:tcW w:w="3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334,559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851,675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(4,183)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847,492</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3160" w:type="dxa"/>
            <w:vAlign w:val="bottom"/>
            <w:tcBorders>
              <w:bottom w:val="single" w:sz="8" w:color="CCEEFF"/>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24,522</w:t>
            </w:r>
          </w:p>
        </w:tc>
        <w:tc>
          <w:tcPr>
            <w:tcW w:w="18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24,706</w:t>
            </w:r>
          </w:p>
        </w:tc>
        <w:tc>
          <w:tcPr>
            <w:tcW w:w="10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24,706</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31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sales</w:t>
            </w:r>
          </w:p>
        </w:tc>
        <w:tc>
          <w:tcPr>
            <w:tcW w:w="260" w:type="dxa"/>
            <w:vAlign w:val="bottom"/>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541,638</w:t>
            </w:r>
          </w:p>
        </w:tc>
        <w:tc>
          <w:tcPr>
            <w:tcW w:w="180" w:type="dxa"/>
            <w:vAlign w:val="bottom"/>
          </w:tcPr>
          <w:p>
            <w:pPr>
              <w:spacing w:after="0"/>
              <w:rPr>
                <w:sz w:val="13"/>
                <w:szCs w:val="13"/>
                <w:color w:val="auto"/>
              </w:rPr>
            </w:pPr>
          </w:p>
        </w:tc>
        <w:tc>
          <w:tcPr>
            <w:tcW w:w="3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334,743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876,381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(4,183)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872,198</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1740" w:type="dxa"/>
            <w:vAlign w:val="bottom"/>
            <w:tcBorders>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color w:val="auto"/>
              </w:rPr>
              <w:t>Timing of revenue recognition</w:t>
            </w: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31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Products transferred at a point in time</w:t>
            </w:r>
          </w:p>
        </w:tc>
        <w:tc>
          <w:tcPr>
            <w:tcW w:w="2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54,566</w:t>
            </w:r>
          </w:p>
        </w:tc>
        <w:tc>
          <w:tcPr>
            <w:tcW w:w="180" w:type="dxa"/>
            <w:vAlign w:val="bottom"/>
            <w:tcBorders>
              <w:left w:val="single" w:sz="8" w:color="CCEEFF"/>
            </w:tcBorders>
            <w:shd w:val="clear" w:color="auto" w:fill="CCEEFF"/>
          </w:tcPr>
          <w:p>
            <w:pPr>
              <w:spacing w:after="0"/>
              <w:rPr>
                <w:sz w:val="15"/>
                <w:szCs w:val="15"/>
                <w:color w:val="auto"/>
              </w:rPr>
            </w:pPr>
          </w:p>
        </w:tc>
        <w:tc>
          <w:tcPr>
            <w:tcW w:w="3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147,766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202,332</w:t>
            </w: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202,799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Products and services transferred over time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487,072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186,977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674,049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669,399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0" w:type="dxa"/>
            <w:vAlign w:val="bottom"/>
          </w:tcPr>
          <w:p>
            <w:pPr>
              <w:spacing w:after="0"/>
              <w:rPr>
                <w:sz w:val="15"/>
                <w:szCs w:val="15"/>
                <w:color w:val="auto"/>
              </w:rPr>
            </w:pPr>
          </w:p>
        </w:tc>
        <w:tc>
          <w:tcPr>
            <w:tcW w:w="3160" w:type="dxa"/>
            <w:vAlign w:val="bottom"/>
            <w:tcBorders>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sales</w:t>
            </w:r>
          </w:p>
        </w:tc>
        <w:tc>
          <w:tcPr>
            <w:tcW w:w="2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541,638</w:t>
            </w:r>
          </w:p>
        </w:tc>
        <w:tc>
          <w:tcPr>
            <w:tcW w:w="180" w:type="dxa"/>
            <w:vAlign w:val="bottom"/>
            <w:tcBorders>
              <w:left w:val="single" w:sz="8" w:color="CCEEFF"/>
            </w:tcBorders>
            <w:shd w:val="clear" w:color="auto" w:fill="CCEEFF"/>
          </w:tcPr>
          <w:p>
            <w:pPr>
              <w:spacing w:after="0"/>
              <w:rPr>
                <w:sz w:val="15"/>
                <w:szCs w:val="15"/>
                <w:color w:val="auto"/>
              </w:rPr>
            </w:pPr>
          </w:p>
        </w:tc>
        <w:tc>
          <w:tcPr>
            <w:tcW w:w="3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876,381</w:t>
            </w: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872,198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Reportable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Eliminations 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FVS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SV</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9"/>
              </w:rPr>
              <w:t>Segments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60" w:type="dxa"/>
            <w:vAlign w:val="bottom"/>
          </w:tcPr>
          <w:p>
            <w:pPr>
              <w:spacing w:after="0"/>
              <w:rPr>
                <w:sz w:val="12"/>
                <w:szCs w:val="12"/>
                <w:color w:val="auto"/>
              </w:rPr>
            </w:pPr>
          </w:p>
        </w:tc>
        <w:tc>
          <w:tcPr>
            <w:tcW w:w="17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Primary geographical markets</w:t>
            </w:r>
          </w:p>
        </w:tc>
        <w:tc>
          <w:tcPr>
            <w:tcW w:w="1440" w:type="dxa"/>
            <w:vAlign w:val="bottom"/>
            <w:tcBorders>
              <w:bottom w:val="single" w:sz="8" w:color="CCEEFF"/>
              <w:right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left w:val="single" w:sz="8" w:color="CCEEFF"/>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left w:val="single" w:sz="8" w:color="CCEEFF"/>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31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639,441</w:t>
            </w:r>
          </w:p>
        </w:tc>
        <w:tc>
          <w:tcPr>
            <w:tcW w:w="30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386,536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1,025,977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(6,483)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1,019,494</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3160" w:type="dxa"/>
            <w:vAlign w:val="bottom"/>
            <w:tcBorders>
              <w:bottom w:val="single" w:sz="8" w:color="CCEEFF"/>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7,562</w:t>
            </w:r>
          </w:p>
        </w:tc>
        <w:tc>
          <w:tcPr>
            <w:tcW w:w="18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31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sales</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647,003</w:t>
            </w:r>
          </w:p>
        </w:tc>
        <w:tc>
          <w:tcPr>
            <w:tcW w:w="30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386,644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1,033,647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(6,483)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1,027,164</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1740" w:type="dxa"/>
            <w:vAlign w:val="bottom"/>
            <w:tcBorders>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color w:val="auto"/>
              </w:rPr>
              <w:t>Timing of revenue recognition</w:t>
            </w: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31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Products transferred at a point in time</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41,750</w:t>
            </w:r>
          </w:p>
        </w:tc>
        <w:tc>
          <w:tcPr>
            <w:tcW w:w="3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208,645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250,395</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250,395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Products and services transferred over time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605,253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177,999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783,252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(6,483)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776,769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0" w:type="dxa"/>
            <w:vAlign w:val="bottom"/>
          </w:tcPr>
          <w:p>
            <w:pPr>
              <w:spacing w:after="0"/>
              <w:rPr>
                <w:sz w:val="15"/>
                <w:szCs w:val="15"/>
                <w:color w:val="auto"/>
              </w:rPr>
            </w:pPr>
          </w:p>
        </w:tc>
        <w:tc>
          <w:tcPr>
            <w:tcW w:w="3160" w:type="dxa"/>
            <w:vAlign w:val="bottom"/>
            <w:tcBorders>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sales</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647,003</w:t>
            </w:r>
          </w:p>
        </w:tc>
        <w:tc>
          <w:tcPr>
            <w:tcW w:w="180" w:type="dxa"/>
            <w:vAlign w:val="bottom"/>
            <w:tcBorders>
              <w:lef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1,033,647</w:t>
            </w:r>
          </w:p>
        </w:tc>
        <w:tc>
          <w:tcPr>
            <w:tcW w:w="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(6,483)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1,027,164</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3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 4 – INVENTORIES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7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Inventories are summarized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1040"/>
              <w:spacing w:after="0"/>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72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7,654</w:t>
            </w:r>
          </w:p>
        </w:tc>
        <w:tc>
          <w:tcPr>
            <w:tcW w:w="80" w:type="dxa"/>
            <w:vAlign w:val="bottom"/>
            <w:shd w:val="clear" w:color="auto" w:fill="CCEEFF"/>
          </w:tcPr>
          <w:p>
            <w:pPr>
              <w:spacing w:after="0"/>
              <w:rPr>
                <w:sz w:val="13"/>
                <w:szCs w:val="13"/>
                <w:color w:val="auto"/>
              </w:rPr>
            </w:pPr>
          </w:p>
        </w:tc>
        <w:tc>
          <w:tcPr>
            <w:tcW w:w="200" w:type="dxa"/>
            <w:vAlign w:val="bottom"/>
            <w:tcBorders>
              <w:left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9,374</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Work in process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color w:val="auto"/>
              </w:rPr>
              <w:t>2,543</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2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 and purchased components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98,901</w:t>
            </w:r>
          </w:p>
        </w:tc>
        <w:tc>
          <w:tcPr>
            <w:tcW w:w="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93,218</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7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 Inventories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109,859</w:t>
            </w:r>
          </w:p>
        </w:tc>
        <w:tc>
          <w:tcPr>
            <w:tcW w:w="80" w:type="dxa"/>
            <w:vAlign w:val="bottom"/>
          </w:tcPr>
          <w:p>
            <w:pPr>
              <w:spacing w:after="0"/>
              <w:rPr>
                <w:sz w:val="13"/>
                <w:szCs w:val="13"/>
                <w:color w:val="auto"/>
              </w:rPr>
            </w:pPr>
          </w:p>
        </w:tc>
        <w:tc>
          <w:tcPr>
            <w:tcW w:w="2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color w:val="auto"/>
              </w:rPr>
              <w:t>105,135</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6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14"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GOODWILL AND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Goodwill</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test goodwill for impairment at the reporting unit level on an annual basis as of October 1, or whenever an event or change in circumstances occurs that would more likely than not reduce the fair value of a reporting unit below its carrying amount. See “Goodwill and Other Intangible Assets” within “Note 1 – </w:t>
      </w:r>
      <w:r>
        <w:rPr>
          <w:rFonts w:ascii="Times New Roman" w:cs="Times New Roman" w:eastAsia="Times New Roman" w:hAnsi="Times New Roman"/>
          <w:sz w:val="14"/>
          <w:szCs w:val="14"/>
          <w:i w:val="1"/>
          <w:iCs w:val="1"/>
          <w:color w:val="auto"/>
        </w:rPr>
        <w:t>Nature of Operations and Basis of Presentation</w:t>
      </w:r>
      <w:r>
        <w:rPr>
          <w:rFonts w:ascii="Times New Roman" w:cs="Times New Roman" w:eastAsia="Times New Roman" w:hAnsi="Times New Roman"/>
          <w:sz w:val="14"/>
          <w:szCs w:val="14"/>
          <w:color w:val="auto"/>
        </w:rPr>
        <w:t>” for a description of our accounting policies regarding goodwill and other intangible assets.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October 1, 2024, the most recent annual goodwill impairment assessment date, two reporting units were determined for goodwill impairment testing: Fleet Vehicles and Services and Specialty Vehicles. We performed a quantitative impairment test by comparing the fair value of each reporting unit with its carrying amount, including goodwill and concluded no risk of impairment for both reporting units.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discussed in “Note 1 – </w:t>
      </w:r>
      <w:r>
        <w:rPr>
          <w:rFonts w:ascii="Times New Roman" w:cs="Times New Roman" w:eastAsia="Times New Roman" w:hAnsi="Times New Roman"/>
          <w:sz w:val="14"/>
          <w:szCs w:val="14"/>
          <w:i w:val="1"/>
          <w:iCs w:val="1"/>
          <w:color w:val="auto"/>
        </w:rPr>
        <w:t>Nature of Operations and Basis of Presentation</w:t>
      </w:r>
      <w:r>
        <w:rPr>
          <w:rFonts w:ascii="Times New Roman" w:cs="Times New Roman" w:eastAsia="Times New Roman" w:hAnsi="Times New Roman"/>
          <w:sz w:val="14"/>
          <w:szCs w:val="14"/>
          <w:color w:val="auto"/>
        </w:rPr>
        <w:t>” there are significant judgments inherent in our impairment assessments and discounted cash flow analyses. These discounted cash flow analyses are most sensitive to the WACC assumption.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the carrying amount of goodwill for the year ended December 31, 2024 and 2023 were as follows (in thousands):</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4"/>
                <w:szCs w:val="14"/>
                <w:color w:val="auto"/>
              </w:rPr>
              <w:t>FVS</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color w:val="auto"/>
                <w:w w:val="89"/>
              </w:rPr>
              <w:t>SV</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right"/>
              <w:ind w:right="4"/>
              <w:spacing w:after="0" w:line="146" w:lineRule="exact"/>
              <w:rPr>
                <w:sz w:val="20"/>
                <w:szCs w:val="20"/>
                <w:color w:val="auto"/>
              </w:rPr>
            </w:pPr>
            <w:r>
              <w:rPr>
                <w:rFonts w:ascii="Times New Roman" w:cs="Times New Roman" w:eastAsia="Times New Roman" w:hAnsi="Times New Roman"/>
                <w:sz w:val="14"/>
                <w:szCs w:val="14"/>
                <w:color w:val="auto"/>
              </w:rPr>
              <w:t>December 31,</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December 31,</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color w:val="auto"/>
              </w:rPr>
              <w:t>December 31,</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15,323</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15,323</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33,557</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33,557</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48,880</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48,880</w:t>
            </w:r>
          </w:p>
        </w:tc>
        <w:tc>
          <w:tcPr>
            <w:tcW w:w="0" w:type="dxa"/>
            <w:vAlign w:val="bottom"/>
          </w:tcPr>
          <w:p>
            <w:pPr>
              <w:spacing w:after="0"/>
              <w:rPr>
                <w:sz w:val="1"/>
                <w:szCs w:val="1"/>
                <w:color w:val="auto"/>
              </w:rPr>
            </w:pPr>
          </w:p>
        </w:tc>
      </w:tr>
      <w:tr>
        <w:trPr>
          <w:trHeight w:val="155"/>
        </w:trPr>
        <w:tc>
          <w:tcPr>
            <w:tcW w:w="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Acquisition</w:t>
            </w:r>
          </w:p>
        </w:tc>
        <w:tc>
          <w:tcPr>
            <w:tcW w:w="1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and measurement period</w:t>
            </w:r>
          </w:p>
        </w:tc>
        <w:tc>
          <w:tcPr>
            <w:tcW w:w="24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15,214</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15,214</w:t>
            </w:r>
          </w:p>
        </w:tc>
        <w:tc>
          <w:tcPr>
            <w:tcW w:w="360" w:type="dxa"/>
            <w:vAlign w:val="bottom"/>
          </w:tcPr>
          <w:p>
            <w:pPr>
              <w:spacing w:after="0"/>
              <w:rPr>
                <w:sz w:val="13"/>
                <w:szCs w:val="13"/>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adjustments</w:t>
            </w: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year</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15,323</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15,323</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48,771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33,557</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64,094</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48,880</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OtherIntangible Assets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December 31, 2024, we had other intangible assets, including customer and dealer relationships, non-compete agreements, trade names, trademarks, unpatented technology, patented technology. Certain non-compete agreements and certain other intangible assets are being amortized over their expected remaining useful lives based on the pattern of estimated after-tax operating income generated, or on a straight-line basis. Unpatented technology, patented technology and certain non-compete agreements are amortized utilizing a straight-line approach over the estimated useful lives. We amortize the customer relationships utilizing an accelerated approach over the estimated remaining life. The Royal, DuraMag, Magnum, Utilimaster and Strobes-R-Us trade names and trademarks are considered to have indefinite lives and are not amortized.</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evaluate the recoverability of our indefinite lived intangible assets, which, as of October 1, 2024, consisted of our Royal, DuraMag and Magnum trade names,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these trade name branded products, business trends, prospects and market and economic conditions. The fair value of our Royal, DuraMag and Magnum trade names exceeded their carrying values, and therefore do not result in an impairment. We qualitatively assessed Utilimaster and Strobes-R-Us trade names and trademarks and found no indicators of impairment.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provides information regarding our other intangible assets:</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0"/>
        </w:trPr>
        <w:tc>
          <w:tcPr>
            <w:tcW w:w="3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As of December 31, 2024</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As of December 31, 2023</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9"/>
              <w:spacing w:after="0" w:line="146"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9"/>
              <w:spacing w:after="0" w:line="146"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3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w w:val="99"/>
              </w:rPr>
              <w:t>amount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w w:val="98"/>
              </w:rPr>
              <w:t>amortization</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Net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w w:val="99"/>
              </w:rPr>
              <w:t>amount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w w:val="98"/>
              </w:rPr>
              <w:t>amortization</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6"/>
                <w:szCs w:val="16"/>
                <w:color w:val="auto"/>
              </w:rPr>
            </w:pPr>
          </w:p>
        </w:tc>
      </w:tr>
      <w:tr>
        <w:trPr>
          <w:trHeight w:val="16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50,880</w:t>
            </w:r>
          </w:p>
        </w:tc>
        <w:tc>
          <w:tcPr>
            <w:tcW w:w="34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18,240</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32,640</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39,080</w:t>
            </w:r>
          </w:p>
        </w:tc>
        <w:tc>
          <w:tcPr>
            <w:tcW w:w="34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15,068</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24,012</w:t>
            </w: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Unpatented technology</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403</w:t>
            </w:r>
          </w:p>
        </w:tc>
        <w:tc>
          <w:tcPr>
            <w:tcW w:w="2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3,537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195</w:t>
            </w:r>
          </w:p>
        </w:tc>
        <w:tc>
          <w:tcPr>
            <w:tcW w:w="2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345</w:t>
            </w:r>
          </w:p>
        </w:tc>
      </w:tr>
      <w:tr>
        <w:trPr>
          <w:trHeight w:val="17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Patented technology</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1,444</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756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1,169</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Non-compete agreements</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2,876</w:t>
            </w:r>
          </w:p>
        </w:tc>
        <w:tc>
          <w:tcPr>
            <w:tcW w:w="2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2,490</w:t>
            </w:r>
          </w:p>
        </w:tc>
        <w:tc>
          <w:tcPr>
            <w:tcW w:w="2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490</w:t>
            </w:r>
          </w:p>
        </w:tc>
      </w:tr>
      <w:tr>
        <w:trPr>
          <w:trHeight w:val="18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20,990</w:t>
            </w: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20,874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19,390</w:t>
            </w: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19,390</w:t>
            </w: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Backlog</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697</w:t>
            </w:r>
          </w:p>
        </w:tc>
        <w:tc>
          <w:tcPr>
            <w:tcW w:w="2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903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32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82,840</w:t>
            </w:r>
          </w:p>
        </w:tc>
        <w:tc>
          <w:tcPr>
            <w:tcW w:w="34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23,776</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59,064</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64,190</w:t>
            </w:r>
          </w:p>
        </w:tc>
        <w:tc>
          <w:tcPr>
            <w:tcW w:w="34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18,922</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45,268</w:t>
            </w:r>
          </w:p>
        </w:tc>
      </w:tr>
      <w:tr>
        <w:trPr>
          <w:trHeight w:val="20"/>
        </w:trPr>
        <w:tc>
          <w:tcPr>
            <w:tcW w:w="3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recorded $4,855, $3,810, and $3,903 of intangible asset amortization expense, as a part of Selling, general and administrative expense as presented on the Consolidated Statement of Operations, during 2024, 2023 and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remaining amortization associated with finite-lived intangible assets is expected to be expensed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r>
      <w:tr>
        <w:trPr>
          <w:trHeight w:val="16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5,538</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4,508</w:t>
            </w:r>
          </w:p>
        </w:tc>
      </w:tr>
      <w:tr>
        <w:trPr>
          <w:trHeight w:val="17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4,513</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4,156</w:t>
            </w:r>
          </w:p>
        </w:tc>
      </w:tr>
      <w:tr>
        <w:trPr>
          <w:trHeight w:val="17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3,865</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17,094</w:t>
            </w:r>
          </w:p>
        </w:tc>
      </w:tr>
      <w:tr>
        <w:trPr>
          <w:trHeight w:val="20"/>
        </w:trPr>
        <w:tc>
          <w:tcPr>
            <w:tcW w:w="6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39,674</w:t>
            </w:r>
          </w:p>
        </w:tc>
      </w:tr>
      <w:tr>
        <w:trPr>
          <w:trHeight w:val="502"/>
        </w:trPr>
        <w:tc>
          <w:tcPr>
            <w:tcW w:w="6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NOTE 6 – PROPERTY, PLANT AND EQUIPMENT</w:t>
            </w:r>
          </w:p>
        </w:tc>
        <w:tc>
          <w:tcPr>
            <w:tcW w:w="9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4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are summarized by major classifications as follows: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62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6240" w:type="dxa"/>
            <w:vAlign w:val="bottom"/>
          </w:tcPr>
          <w:p>
            <w:pPr>
              <w:spacing w:after="0"/>
              <w:rPr>
                <w:sz w:val="13"/>
                <w:szCs w:val="13"/>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3"/>
                <w:szCs w:val="13"/>
                <w:color w:val="auto"/>
              </w:rPr>
            </w:pPr>
          </w:p>
        </w:tc>
      </w:tr>
      <w:tr>
        <w:trPr>
          <w:trHeight w:val="16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 and improvements</w:t>
            </w:r>
          </w:p>
        </w:tc>
        <w:tc>
          <w:tcPr>
            <w:tcW w:w="98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14,007</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12,578</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57,539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53,789</w:t>
            </w:r>
          </w:p>
        </w:tc>
      </w:tr>
      <w:tr>
        <w:trPr>
          <w:trHeight w:val="17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Plant machinery and equipment</w:t>
            </w:r>
          </w:p>
        </w:tc>
        <w:tc>
          <w:tcPr>
            <w:tcW w:w="9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70,840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60,517</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19,500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19,474</w:t>
            </w:r>
          </w:p>
        </w:tc>
      </w:tr>
      <w:tr>
        <w:trPr>
          <w:trHeight w:val="17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w:t>
            </w:r>
          </w:p>
        </w:tc>
        <w:tc>
          <w:tcPr>
            <w:tcW w:w="9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2,249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2,015</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process</w:t>
            </w: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1,960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10,570</w:t>
            </w:r>
          </w:p>
        </w:tc>
      </w:tr>
      <w:tr>
        <w:trPr>
          <w:trHeight w:val="20"/>
        </w:trPr>
        <w:tc>
          <w:tcPr>
            <w:tcW w:w="6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Subtotal</w:t>
            </w:r>
          </w:p>
        </w:tc>
        <w:tc>
          <w:tcPr>
            <w:tcW w:w="9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166,095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158,943</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(85,028)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(75,506)</w:t>
            </w:r>
          </w:p>
        </w:tc>
      </w:tr>
      <w:tr>
        <w:trPr>
          <w:trHeight w:val="20"/>
        </w:trPr>
        <w:tc>
          <w:tcPr>
            <w:tcW w:w="6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98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81,067</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83,437</w:t>
            </w:r>
          </w:p>
        </w:tc>
      </w:tr>
      <w:tr>
        <w:trPr>
          <w:trHeight w:val="20"/>
        </w:trPr>
        <w:tc>
          <w:tcPr>
            <w:tcW w:w="6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recorded depreciation expense of $15,397, $13,143, and $10,871 during 2024, 2023, and 2022, respectively. There were no capitalized interest costs in 2024, 2023, or 2022.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LEASES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have operating and finance leases for land, buildings and certain equipment. Our leases have remaining lease terms of one year to 15 years, some of which include options to extend the leases for up to 15 years. Our leases do not contain residual value guarantees. As of December 31, 2024 and 2023, assets recorded under finance leases were immaterial (See “Note 12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Lease expense totaled $12,277, $12,673 and $10,603 for the years ended December 31, 2024, 2023 and 2022,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lease expenses are classified as cost of products sold and operating expenses on the Consolidated Statements of Operations. The components of lease expense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6"/>
              </w:rPr>
              <w:t>Year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Year ended</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6"/>
              </w:rPr>
              <w:t>Year ended</w:t>
            </w:r>
          </w:p>
        </w:tc>
      </w:tr>
      <w:tr>
        <w:trPr>
          <w:trHeight w:val="170"/>
        </w:trPr>
        <w:tc>
          <w:tcPr>
            <w:tcW w:w="3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84"/>
        </w:trPr>
        <w:tc>
          <w:tcPr>
            <w:tcW w:w="37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w w:val="99"/>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r>
      <w:tr>
        <w:trPr>
          <w:trHeight w:val="16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10,921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11,388</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10,302</w:t>
            </w:r>
          </w:p>
        </w:tc>
      </w:tr>
      <w:tr>
        <w:trPr>
          <w:trHeight w:val="170"/>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leases (1)</w:t>
            </w: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1,285</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r>
      <w:tr>
        <w:trPr>
          <w:trHeight w:val="20"/>
        </w:trPr>
        <w:tc>
          <w:tcPr>
            <w:tcW w:w="3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expense</w:t>
            </w:r>
          </w:p>
        </w:tc>
        <w:tc>
          <w:tcPr>
            <w:tcW w:w="2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12,277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12,673</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10,603</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right="940" w:firstLine="132"/>
        <w:spacing w:after="0" w:line="506" w:lineRule="auto"/>
        <w:tabs>
          <w:tab w:leader="none" w:pos="32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expenses for month-to-month equipment leases, which are classified as short-term as the Company is not reasonably certain to renew the lease term beyond one month. The weighted average remaining lease term and weighted average discount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120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w w:val="99"/>
              </w:rPr>
              <w:t>Year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Year ended</w:t>
            </w:r>
          </w:p>
        </w:tc>
      </w:tr>
      <w:tr>
        <w:trPr>
          <w:trHeight w:val="170"/>
        </w:trPr>
        <w:tc>
          <w:tcPr>
            <w:tcW w:w="8020" w:type="dxa"/>
            <w:vAlign w:val="bottom"/>
          </w:tcPr>
          <w:p>
            <w:pPr>
              <w:spacing w:after="0"/>
              <w:rPr>
                <w:sz w:val="14"/>
                <w:szCs w:val="14"/>
                <w:color w:val="auto"/>
              </w:rPr>
            </w:pPr>
          </w:p>
        </w:tc>
        <w:tc>
          <w:tcPr>
            <w:tcW w:w="120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December 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84"/>
        </w:trPr>
        <w:tc>
          <w:tcPr>
            <w:tcW w:w="8020" w:type="dxa"/>
            <w:vAlign w:val="bottom"/>
          </w:tcPr>
          <w:p>
            <w:pPr>
              <w:spacing w:after="0"/>
              <w:rPr>
                <w:sz w:val="16"/>
                <w:szCs w:val="16"/>
                <w:color w:val="auto"/>
              </w:rPr>
            </w:pPr>
          </w:p>
        </w:tc>
        <w:tc>
          <w:tcPr>
            <w:tcW w:w="120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Pr>
          <w:p>
            <w:pPr>
              <w:spacing w:after="0"/>
              <w:rPr>
                <w:sz w:val="16"/>
                <w:szCs w:val="16"/>
                <w:color w:val="auto"/>
              </w:rPr>
            </w:pPr>
          </w:p>
        </w:tc>
      </w:tr>
      <w:tr>
        <w:trPr>
          <w:trHeight w:val="161"/>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remaining lease term of operating leases (in years)</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7.0</w:t>
            </w:r>
          </w:p>
        </w:tc>
        <w:tc>
          <w:tcPr>
            <w:tcW w:w="1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w w:val="91"/>
              </w:rPr>
              <w:t>7.2</w:t>
            </w:r>
          </w:p>
        </w:tc>
        <w:tc>
          <w:tcPr>
            <w:tcW w:w="120" w:type="dxa"/>
            <w:vAlign w:val="bottom"/>
            <w:shd w:val="clear" w:color="auto" w:fill="CCEEFF"/>
          </w:tcPr>
          <w:p>
            <w:pPr>
              <w:spacing w:after="0"/>
              <w:rPr>
                <w:sz w:val="13"/>
                <w:szCs w:val="13"/>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 of operating leases</w:t>
            </w:r>
          </w:p>
        </w:tc>
        <w:tc>
          <w:tcPr>
            <w:tcW w:w="120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w:t>
            </w: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w w:val="95"/>
              </w:rPr>
              <w:t>2.9%</w:t>
            </w:r>
          </w:p>
        </w:tc>
      </w:tr>
      <w:tr>
        <w:trPr>
          <w:trHeight w:val="20"/>
        </w:trPr>
        <w:tc>
          <w:tcPr>
            <w:tcW w:w="8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sectPr>
          <w:pgSz w:w="11900" w:h="16838" w:orient="portrait"/>
          <w:cols w:equalWidth="0" w:num="1">
            <w:col w:w="11280"/>
          </w:cols>
          <w:pgMar w:left="300" w:top="314"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Operating cash flow for operating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00" w:type="dxa"/>
            <w:vAlign w:val="bottom"/>
          </w:tcPr>
          <w:p>
            <w:pPr>
              <w:spacing w:after="0"/>
              <w:rPr>
                <w:sz w:val="14"/>
                <w:szCs w:val="14"/>
                <w:color w:val="auto"/>
              </w:rPr>
            </w:pPr>
          </w:p>
        </w:tc>
        <w:tc>
          <w:tcPr>
            <w:tcW w:w="12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6"/>
              </w:rPr>
              <w:t>Year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Year ended</w:t>
            </w:r>
          </w:p>
        </w:tc>
        <w:tc>
          <w:tcPr>
            <w:tcW w:w="200" w:type="dxa"/>
            <w:vAlign w:val="bottom"/>
          </w:tcPr>
          <w:p>
            <w:pPr>
              <w:spacing w:after="0"/>
              <w:rPr>
                <w:sz w:val="14"/>
                <w:szCs w:val="14"/>
                <w:color w:val="auto"/>
              </w:rPr>
            </w:pPr>
          </w:p>
        </w:tc>
        <w:tc>
          <w:tcPr>
            <w:tcW w:w="12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6"/>
              </w:rPr>
              <w:t>Year ended</w:t>
            </w:r>
          </w:p>
        </w:tc>
      </w:tr>
      <w:tr>
        <w:trPr>
          <w:trHeight w:val="170"/>
        </w:trPr>
        <w:tc>
          <w:tcPr>
            <w:tcW w:w="200" w:type="dxa"/>
            <w:vAlign w:val="bottom"/>
          </w:tcPr>
          <w:p>
            <w:pPr>
              <w:spacing w:after="0"/>
              <w:rPr>
                <w:sz w:val="14"/>
                <w:szCs w:val="14"/>
                <w:color w:val="auto"/>
              </w:rPr>
            </w:pPr>
          </w:p>
        </w:tc>
        <w:tc>
          <w:tcPr>
            <w:tcW w:w="12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December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14"/>
                <w:szCs w:val="14"/>
                <w:color w:val="auto"/>
              </w:rPr>
            </w:pPr>
          </w:p>
        </w:tc>
        <w:tc>
          <w:tcPr>
            <w:tcW w:w="12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84"/>
        </w:trPr>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w w:val="99"/>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w w:val="99"/>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2022</w:t>
            </w:r>
          </w:p>
        </w:tc>
      </w:tr>
      <w:tr>
        <w:trPr>
          <w:trHeight w:val="330"/>
        </w:trPr>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11,041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-235585</wp:posOffset>
            </wp:positionV>
            <wp:extent cx="7161530" cy="107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0</wp:posOffset>
            </wp:positionV>
            <wp:extent cx="7161530" cy="107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5620" w:space="720"/>
            <w:col w:w="4940"/>
          </w:cols>
          <w:pgMar w:left="300" w:top="314" w:right="3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1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7,025</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19,159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Finance leases</w:t>
            </w:r>
          </w:p>
        </w:tc>
        <w:tc>
          <w:tcPr>
            <w:tcW w:w="190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444</w:t>
            </w:r>
          </w:p>
        </w:tc>
        <w:tc>
          <w:tcPr>
            <w:tcW w:w="62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4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Maturities of operating lease liabilities as of December 31, 2024 are as follows:</w:t>
            </w:r>
          </w:p>
        </w:tc>
        <w:tc>
          <w:tcPr>
            <w:tcW w:w="1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Years ending December 31:</w:t>
            </w: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2025</w:t>
            </w: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10,924</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2026</w:t>
            </w: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9,013</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2027</w:t>
            </w: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6,323</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2028</w:t>
            </w: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4,675</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2029</w:t>
            </w: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4,087</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Thereafter</w:t>
            </w:r>
          </w:p>
        </w:tc>
        <w:tc>
          <w:tcPr>
            <w:tcW w:w="1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13,204</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48,226</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(5,393)</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42,833</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0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color w:val="auto"/>
              </w:rPr>
              <w:t>61</w:t>
            </w: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14" w:right="31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8 – TAXES ON INCOME</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0"/>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taxes consist of the following:</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color w:val="auto"/>
              </w:rPr>
              <w:t>Year Ended 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3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3"/>
                <w:szCs w:val="13"/>
                <w:color w:val="auto"/>
              </w:rPr>
            </w:pPr>
          </w:p>
        </w:tc>
      </w:tr>
      <w:tr>
        <w:trPr>
          <w:trHeight w:val="161"/>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on income</w:t>
            </w: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566</w:t>
            </w:r>
          </w:p>
        </w:tc>
        <w:tc>
          <w:tcPr>
            <w:tcW w:w="1120" w:type="dxa"/>
            <w:vAlign w:val="bottom"/>
            <w:gridSpan w:val="3"/>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(5,768)</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100" w:type="dxa"/>
            <w:vAlign w:val="bottom"/>
            <w:shd w:val="clear" w:color="auto" w:fill="CCEEFF"/>
          </w:tcPr>
          <w:p>
            <w:pPr>
              <w:spacing w:after="0"/>
              <w:rPr>
                <w:sz w:val="13"/>
                <w:szCs w:val="13"/>
                <w:color w:val="auto"/>
              </w:rPr>
            </w:pPr>
          </w:p>
        </w:tc>
      </w:tr>
      <w:tr>
        <w:trPr>
          <w:trHeight w:val="339"/>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 (benefit) consists of the following:</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color w:val="auto"/>
                <w:w w:val="99"/>
              </w:rPr>
              <w:t>Year Ended December 31,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3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3"/>
                <w:szCs w:val="13"/>
                <w:color w:val="auto"/>
              </w:rPr>
            </w:pPr>
          </w:p>
        </w:tc>
        <w:tc>
          <w:tcPr>
            <w:tcW w:w="112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(benefit):</w:t>
            </w:r>
          </w:p>
        </w:tc>
        <w:tc>
          <w:tcPr>
            <w:tcW w:w="10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040" w:type="dxa"/>
            <w:vAlign w:val="bottom"/>
          </w:tcPr>
          <w:p>
            <w:pPr>
              <w:jc w:val="right"/>
              <w:ind w:right="91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Borders>
              <w:left w:val="single" w:sz="8" w:color="CCEEFF"/>
            </w:tcBorders>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w:t>
            </w: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12,807</w:t>
            </w:r>
          </w:p>
        </w:tc>
        <w:tc>
          <w:tcPr>
            <w:tcW w:w="100" w:type="dxa"/>
            <w:vAlign w:val="bottom"/>
            <w:tcBorders>
              <w:left w:val="single" w:sz="8" w:color="CCEEFF"/>
            </w:tcBorders>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45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Deferred (benefit):</w:t>
            </w:r>
          </w:p>
        </w:tc>
        <w:tc>
          <w:tcPr>
            <w:tcW w:w="10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0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(5,764)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(5,828)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(4,976)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0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w:t>
            </w:r>
          </w:p>
        </w:tc>
        <w:tc>
          <w:tcPr>
            <w:tcW w:w="10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(6,245)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(6,910)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(5,439)</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taxes (benefit) on income</w:t>
            </w:r>
          </w:p>
        </w:tc>
        <w:tc>
          <w:tcPr>
            <w:tcW w:w="1040" w:type="dxa"/>
            <w:vAlign w:val="bottom"/>
          </w:tcPr>
          <w:p>
            <w:pPr>
              <w:jc w:val="right"/>
              <w:ind w:right="91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spacing w:after="0"/>
              <w:rPr>
                <w:sz w:val="13"/>
                <w:szCs w:val="13"/>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(5,768)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Differences between the expected income tax expense derived from applying the federal statutory income tax rate to earnings before taxes on income and the actual tax expense (benefit)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4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r>
      <w:tr>
        <w:trPr>
          <w:trHeight w:val="16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income taxes at the statutory rate</w:t>
            </w:r>
          </w:p>
        </w:tc>
        <w:tc>
          <w:tcPr>
            <w:tcW w:w="302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(468)</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9,224</w:t>
            </w:r>
          </w:p>
        </w:tc>
        <w:tc>
          <w:tcPr>
            <w:tcW w:w="100" w:type="dxa"/>
            <w:vAlign w:val="bottom"/>
            <w:shd w:val="clear" w:color="auto" w:fill="CCEEFF"/>
          </w:tcPr>
          <w:p>
            <w:pPr>
              <w:spacing w:after="0"/>
              <w:rPr>
                <w:sz w:val="13"/>
                <w:szCs w:val="13"/>
                <w:color w:val="auto"/>
              </w:rPr>
            </w:pPr>
          </w:p>
        </w:tc>
      </w:tr>
      <w:tr>
        <w:trPr>
          <w:trHeight w:val="17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tax expense, net of federal income tax benefit</w:t>
            </w: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509</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Pr>
          <w:p>
            <w:pPr>
              <w:spacing w:after="0"/>
              <w:rPr>
                <w:sz w:val="14"/>
                <w:szCs w:val="14"/>
                <w:color w:val="auto"/>
              </w:rPr>
            </w:pPr>
          </w:p>
        </w:tc>
      </w:tr>
      <w:tr>
        <w:trPr>
          <w:trHeight w:val="17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income taxes resulting from:</w:t>
            </w:r>
          </w:p>
        </w:tc>
        <w:tc>
          <w:tcPr>
            <w:tcW w:w="2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Non-deductible compensation</w:t>
            </w: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422</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851</w:t>
            </w:r>
          </w:p>
        </w:tc>
      </w:tr>
      <w:tr>
        <w:trPr>
          <w:trHeight w:val="17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2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(82)</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(819)</w:t>
            </w:r>
          </w:p>
        </w:tc>
      </w:tr>
      <w:tr>
        <w:trPr>
          <w:trHeight w:val="17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Foreign-derived intangible income deduction</w:t>
            </w: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(515)</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EPA settlement</w:t>
            </w:r>
          </w:p>
        </w:tc>
        <w:tc>
          <w:tcPr>
            <w:tcW w:w="2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Unrecognized tax benefit adjustment</w:t>
            </w: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(2,234)</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research and development tax credit</w:t>
            </w:r>
          </w:p>
        </w:tc>
        <w:tc>
          <w:tcPr>
            <w:tcW w:w="2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(3,645)</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(2,681)</w:t>
            </w:r>
          </w:p>
        </w:tc>
      </w:tr>
      <w:tr>
        <w:trPr>
          <w:trHeight w:val="17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(369)</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(339)</w:t>
            </w:r>
          </w:p>
        </w:tc>
      </w:tr>
      <w:tr>
        <w:trPr>
          <w:trHeight w:val="20"/>
        </w:trPr>
        <w:tc>
          <w:tcPr>
            <w:tcW w:w="4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2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566</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(5,768)</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100" w:type="dxa"/>
            <w:vAlign w:val="bottom"/>
            <w:shd w:val="clear" w:color="auto" w:fill="CCEEFF"/>
          </w:tcPr>
          <w:p>
            <w:pPr>
              <w:spacing w:after="0"/>
              <w:rPr>
                <w:sz w:val="17"/>
                <w:szCs w:val="17"/>
                <w:color w:val="auto"/>
              </w:rPr>
            </w:pPr>
          </w:p>
        </w:tc>
      </w:tr>
      <w:tr>
        <w:trPr>
          <w:trHeight w:val="311"/>
        </w:trPr>
        <w:tc>
          <w:tcPr>
            <w:tcW w:w="430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jc w:val="right"/>
              <w:ind w:right="549"/>
              <w:spacing w:after="0"/>
              <w:rPr>
                <w:sz w:val="20"/>
                <w:szCs w:val="20"/>
                <w:color w:val="auto"/>
              </w:rPr>
            </w:pPr>
            <w:r>
              <w:rPr>
                <w:rFonts w:ascii="Times New Roman" w:cs="Times New Roman" w:eastAsia="Times New Roman" w:hAnsi="Times New Roman"/>
                <w:sz w:val="14"/>
                <w:szCs w:val="14"/>
                <w:color w:val="auto"/>
              </w:rPr>
              <w:t>62</w:t>
            </w: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7"/>
        </w:trPr>
        <w:tc>
          <w:tcPr>
            <w:tcW w:w="43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314"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Temporary differences which give rise to deferred income tax assets (liabilities) are as follows:</w:t>
            </w: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0"/>
        </w:trPr>
        <w:tc>
          <w:tcPr>
            <w:tcW w:w="80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8040" w:type="dxa"/>
            <w:vAlign w:val="bottom"/>
          </w:tcPr>
          <w:p>
            <w:pPr>
              <w:spacing w:after="0"/>
              <w:rPr>
                <w:sz w:val="14"/>
                <w:szCs w:val="14"/>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4"/>
                <w:szCs w:val="14"/>
                <w:color w:val="auto"/>
              </w:rPr>
            </w:pPr>
          </w:p>
        </w:tc>
      </w:tr>
      <w:tr>
        <w:trPr>
          <w:trHeight w:val="161"/>
        </w:trPr>
        <w:tc>
          <w:tcPr>
            <w:tcW w:w="8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940" w:type="dxa"/>
            <w:vAlign w:val="bottom"/>
          </w:tcPr>
          <w:p>
            <w:pPr>
              <w:jc w:val="right"/>
              <w:ind w:right="82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10,873</w:t>
            </w:r>
          </w:p>
        </w:tc>
        <w:tc>
          <w:tcPr>
            <w:tcW w:w="220" w:type="dxa"/>
            <w:vAlign w:val="bottom"/>
          </w:tcPr>
          <w:p>
            <w:pPr>
              <w:spacing w:after="0"/>
              <w:rPr>
                <w:sz w:val="14"/>
                <w:szCs w:val="14"/>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tcPr>
          <w:p>
            <w:pPr>
              <w:spacing w:after="0"/>
              <w:rPr>
                <w:sz w:val="14"/>
                <w:szCs w:val="14"/>
                <w:color w:val="auto"/>
              </w:rPr>
            </w:pPr>
          </w:p>
        </w:tc>
      </w:tr>
      <w:tr>
        <w:trPr>
          <w:trHeight w:val="170"/>
        </w:trPr>
        <w:tc>
          <w:tcPr>
            <w:tcW w:w="80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23,175</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19,937</w:t>
            </w:r>
          </w:p>
        </w:tc>
      </w:tr>
      <w:tr>
        <w:trPr>
          <w:trHeight w:val="170"/>
        </w:trPr>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Warranty reserve</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14"/>
                <w:szCs w:val="14"/>
                <w:color w:val="auto"/>
              </w:rPr>
            </w:pPr>
          </w:p>
        </w:tc>
      </w:tr>
      <w:tr>
        <w:trPr>
          <w:trHeight w:val="170"/>
        </w:trPr>
        <w:tc>
          <w:tcPr>
            <w:tcW w:w="80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costs and reserves</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5,784</w:t>
            </w:r>
          </w:p>
        </w:tc>
        <w:tc>
          <w:tcPr>
            <w:tcW w:w="100" w:type="dxa"/>
            <w:vAlign w:val="bottom"/>
            <w:shd w:val="clear" w:color="auto" w:fill="CCEEFF"/>
          </w:tcPr>
          <w:p>
            <w:pPr>
              <w:spacing w:after="0"/>
              <w:rPr>
                <w:sz w:val="14"/>
                <w:szCs w:val="14"/>
                <w:color w:val="auto"/>
              </w:rPr>
            </w:pPr>
          </w:p>
        </w:tc>
      </w:tr>
      <w:tr>
        <w:trPr>
          <w:trHeight w:val="170"/>
        </w:trPr>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100" w:type="dxa"/>
            <w:vAlign w:val="bottom"/>
          </w:tcPr>
          <w:p>
            <w:pPr>
              <w:spacing w:after="0"/>
              <w:rPr>
                <w:sz w:val="14"/>
                <w:szCs w:val="14"/>
                <w:color w:val="auto"/>
              </w:rPr>
            </w:pPr>
          </w:p>
        </w:tc>
      </w:tr>
      <w:tr>
        <w:trPr>
          <w:trHeight w:val="170"/>
        </w:trPr>
        <w:tc>
          <w:tcPr>
            <w:tcW w:w="80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00" w:type="dxa"/>
            <w:vAlign w:val="bottom"/>
            <w:shd w:val="clear" w:color="auto" w:fill="CCEEFF"/>
          </w:tcPr>
          <w:p>
            <w:pPr>
              <w:spacing w:after="0"/>
              <w:rPr>
                <w:sz w:val="14"/>
                <w:szCs w:val="14"/>
                <w:color w:val="auto"/>
              </w:rPr>
            </w:pPr>
          </w:p>
        </w:tc>
      </w:tr>
      <w:tr>
        <w:trPr>
          <w:trHeight w:val="170"/>
        </w:trPr>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carry-forwards, net of federal income tax benefit</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504</w:t>
            </w:r>
          </w:p>
        </w:tc>
      </w:tr>
      <w:tr>
        <w:trPr>
          <w:trHeight w:val="170"/>
        </w:trPr>
        <w:tc>
          <w:tcPr>
            <w:tcW w:w="80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 related accruals</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916</w:t>
            </w:r>
          </w:p>
        </w:tc>
      </w:tr>
      <w:tr>
        <w:trPr>
          <w:trHeight w:val="170"/>
        </w:trPr>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Credit carry-forwards net of federal income tax benefit</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00" w:type="dxa"/>
            <w:vAlign w:val="bottom"/>
          </w:tcPr>
          <w:p>
            <w:pPr>
              <w:spacing w:after="0"/>
              <w:rPr>
                <w:sz w:val="14"/>
                <w:szCs w:val="14"/>
                <w:color w:val="auto"/>
              </w:rPr>
            </w:pPr>
          </w:p>
        </w:tc>
      </w:tr>
      <w:tr>
        <w:trPr>
          <w:trHeight w:val="170"/>
        </w:trPr>
        <w:tc>
          <w:tcPr>
            <w:tcW w:w="804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 income tax assets</w:t>
            </w:r>
          </w:p>
        </w:tc>
        <w:tc>
          <w:tcPr>
            <w:tcW w:w="940" w:type="dxa"/>
            <w:vAlign w:val="bottom"/>
          </w:tcPr>
          <w:p>
            <w:pPr>
              <w:jc w:val="right"/>
              <w:ind w:right="82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50,110</w:t>
            </w:r>
          </w:p>
        </w:tc>
        <w:tc>
          <w:tcPr>
            <w:tcW w:w="220" w:type="dxa"/>
            <w:vAlign w:val="bottom"/>
          </w:tcPr>
          <w:p>
            <w:pPr>
              <w:spacing w:after="0"/>
              <w:rPr>
                <w:sz w:val="13"/>
                <w:szCs w:val="13"/>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49,577</w:t>
            </w:r>
          </w:p>
        </w:tc>
      </w:tr>
      <w:tr>
        <w:trPr>
          <w:trHeight w:val="20"/>
        </w:trPr>
        <w:tc>
          <w:tcPr>
            <w:tcW w:w="8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04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0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offset method</w:t>
            </w:r>
          </w:p>
        </w:tc>
        <w:tc>
          <w:tcPr>
            <w:tcW w:w="94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(5,726)</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(8,304)</w:t>
            </w:r>
          </w:p>
        </w:tc>
      </w:tr>
      <w:tr>
        <w:trPr>
          <w:trHeight w:val="170"/>
        </w:trPr>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 of use assets</w:t>
            </w:r>
          </w:p>
        </w:tc>
        <w:tc>
          <w:tcPr>
            <w:tcW w:w="9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(10,327)</w:t>
            </w:r>
          </w:p>
        </w:tc>
        <w:tc>
          <w:tcPr>
            <w:tcW w:w="4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(11,231)</w:t>
            </w:r>
          </w:p>
        </w:tc>
      </w:tr>
      <w:tr>
        <w:trPr>
          <w:trHeight w:val="170"/>
        </w:trPr>
        <w:tc>
          <w:tcPr>
            <w:tcW w:w="80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9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(8,026)</w:t>
            </w:r>
          </w:p>
        </w:tc>
        <w:tc>
          <w:tcPr>
            <w:tcW w:w="4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(8,551)</w:t>
            </w:r>
          </w:p>
        </w:tc>
      </w:tr>
      <w:tr>
        <w:trPr>
          <w:trHeight w:val="170"/>
        </w:trPr>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9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(965)</w:t>
            </w:r>
          </w:p>
        </w:tc>
        <w:tc>
          <w:tcPr>
            <w:tcW w:w="4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(2,709)</w:t>
            </w:r>
          </w:p>
        </w:tc>
      </w:tr>
      <w:tr>
        <w:trPr>
          <w:trHeight w:val="170"/>
        </w:trPr>
        <w:tc>
          <w:tcPr>
            <w:tcW w:w="80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9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(1,521)</w:t>
            </w:r>
          </w:p>
        </w:tc>
        <w:tc>
          <w:tcPr>
            <w:tcW w:w="4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(1,482)</w:t>
            </w:r>
          </w:p>
        </w:tc>
      </w:tr>
      <w:tr>
        <w:trPr>
          <w:trHeight w:val="20"/>
        </w:trPr>
        <w:tc>
          <w:tcPr>
            <w:tcW w:w="80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 income tax liabilities</w:t>
            </w:r>
          </w:p>
        </w:tc>
        <w:tc>
          <w:tcPr>
            <w:tcW w:w="940" w:type="dxa"/>
            <w:vAlign w:val="bottom"/>
          </w:tcPr>
          <w:p>
            <w:pPr>
              <w:jc w:val="right"/>
              <w:ind w:right="82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(26,565)</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(32,277)</w:t>
            </w:r>
          </w:p>
        </w:tc>
      </w:tr>
      <w:tr>
        <w:trPr>
          <w:trHeight w:val="20"/>
        </w:trPr>
        <w:tc>
          <w:tcPr>
            <w:tcW w:w="8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04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Net deferred tax asset</w:t>
            </w:r>
          </w:p>
        </w:tc>
        <w:tc>
          <w:tcPr>
            <w:tcW w:w="940" w:type="dxa"/>
            <w:vAlign w:val="bottom"/>
          </w:tcPr>
          <w:p>
            <w:pPr>
              <w:jc w:val="right"/>
              <w:ind w:right="82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23,545</w:t>
            </w:r>
          </w:p>
        </w:tc>
        <w:tc>
          <w:tcPr>
            <w:tcW w:w="220" w:type="dxa"/>
            <w:vAlign w:val="bottom"/>
          </w:tcPr>
          <w:p>
            <w:pPr>
              <w:spacing w:after="0"/>
              <w:rPr>
                <w:sz w:val="14"/>
                <w:szCs w:val="14"/>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17,300</w:t>
            </w:r>
          </w:p>
        </w:tc>
      </w:tr>
      <w:tr>
        <w:trPr>
          <w:trHeight w:val="20"/>
        </w:trPr>
        <w:tc>
          <w:tcPr>
            <w:tcW w:w="8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upon an assessment of the available positive and negative evidence at December 31, 2024 and 2023, the total deferred income tax assets are more likely than not to be realized based on the consideration of deferred tax liability reversals and projected future taxable income. Therefore, no valuation allowance was recorded at December 31, 2024 and 2023.</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and 2023, we had state tax NOL carry-forwards of $415 and $638, respectively, which expire between years 2029-2043. At December 31, 2024 and 2023, we had state tax credit carry-forwards of $3,162 and $2,938, respectively, which expire between years 2026-2034.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change in the unrecognized tax benefits (“UTB”) for the three years ended December 31, 2024, 2023 and 2022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6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beginning of year</w:t>
            </w:r>
          </w:p>
        </w:tc>
        <w:tc>
          <w:tcPr>
            <w:tcW w:w="98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4,664</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5,748</w:t>
            </w: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w:t>
            </w:r>
          </w:p>
        </w:tc>
        <w:tc>
          <w:tcPr>
            <w:tcW w:w="1700" w:type="dxa"/>
            <w:vAlign w:val="bottom"/>
          </w:tcPr>
          <w:p>
            <w:pPr>
              <w:spacing w:after="0"/>
              <w:rPr>
                <w:sz w:val="13"/>
                <w:szCs w:val="13"/>
                <w:color w:val="auto"/>
              </w:rPr>
            </w:pPr>
          </w:p>
        </w:tc>
      </w:tr>
      <w:tr>
        <w:trPr>
          <w:trHeight w:val="17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related to prior year tax positions</w:t>
            </w:r>
          </w:p>
        </w:tc>
        <w:tc>
          <w:tcPr>
            <w:tcW w:w="9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471</w:t>
            </w:r>
          </w:p>
        </w:tc>
        <w:tc>
          <w:tcPr>
            <w:tcW w:w="34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(139)</w:t>
            </w:r>
          </w:p>
        </w:tc>
        <w:tc>
          <w:tcPr>
            <w:tcW w:w="1700" w:type="dxa"/>
            <w:vAlign w:val="bottom"/>
          </w:tcPr>
          <w:p>
            <w:pPr>
              <w:spacing w:after="0"/>
              <w:rPr>
                <w:sz w:val="14"/>
                <w:szCs w:val="14"/>
                <w:color w:val="auto"/>
              </w:rPr>
            </w:pPr>
          </w:p>
        </w:tc>
      </w:tr>
      <w:tr>
        <w:trPr>
          <w:trHeight w:val="1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related to current year tax positions</w:t>
            </w:r>
          </w:p>
        </w:tc>
        <w:tc>
          <w:tcPr>
            <w:tcW w:w="9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775</w:t>
            </w:r>
          </w:p>
        </w:tc>
        <w:tc>
          <w:tcPr>
            <w:tcW w:w="170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Settlement</w:t>
            </w:r>
          </w:p>
        </w:tc>
        <w:tc>
          <w:tcPr>
            <w:tcW w:w="9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(97)</w:t>
            </w:r>
          </w:p>
        </w:tc>
        <w:tc>
          <w:tcPr>
            <w:tcW w:w="1700" w:type="dxa"/>
            <w:vAlign w:val="bottom"/>
          </w:tcPr>
          <w:p>
            <w:pPr>
              <w:spacing w:after="0"/>
              <w:rPr>
                <w:sz w:val="14"/>
                <w:szCs w:val="14"/>
                <w:color w:val="auto"/>
              </w:rPr>
            </w:pPr>
          </w:p>
        </w:tc>
      </w:tr>
      <w:tr>
        <w:trPr>
          <w:trHeight w:val="1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Expiration of statute</w:t>
            </w:r>
          </w:p>
        </w:tc>
        <w:tc>
          <w:tcPr>
            <w:tcW w:w="9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(91)</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(2,125)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w:t>
            </w:r>
          </w:p>
        </w:tc>
        <w:tc>
          <w:tcPr>
            <w:tcW w:w="1700" w:type="dxa"/>
            <w:vAlign w:val="bottom"/>
          </w:tcPr>
          <w:p>
            <w:pPr>
              <w:spacing w:after="0"/>
              <w:rPr>
                <w:sz w:val="14"/>
                <w:szCs w:val="14"/>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1"/>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Balance, end of year</w:t>
            </w:r>
          </w:p>
        </w:tc>
        <w:tc>
          <w:tcPr>
            <w:tcW w:w="980" w:type="dxa"/>
            <w:vAlign w:val="bottom"/>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5,247</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4,664</w:t>
            </w:r>
          </w:p>
        </w:tc>
        <w:tc>
          <w:tcPr>
            <w:tcW w:w="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5,748</w:t>
            </w:r>
          </w:p>
        </w:tc>
        <w:tc>
          <w:tcPr>
            <w:tcW w:w="1700" w:type="dxa"/>
            <w:vAlign w:val="bottom"/>
          </w:tcPr>
          <w:p>
            <w:pPr>
              <w:spacing w:after="0"/>
              <w:rPr>
                <w:sz w:val="13"/>
                <w:szCs w:val="13"/>
                <w:color w:val="auto"/>
              </w:rPr>
            </w:pPr>
          </w:p>
        </w:tc>
      </w:tr>
      <w:tr>
        <w:trPr>
          <w:trHeight w:val="20"/>
        </w:trPr>
        <w:tc>
          <w:tcPr>
            <w:tcW w:w="4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1"/>
        </w:trPr>
        <w:tc>
          <w:tcPr>
            <w:tcW w:w="4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7"/>
        </w:trPr>
        <w:tc>
          <w:tcPr>
            <w:tcW w:w="45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314"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of December 31, 2024, we had an ending UTB balance of $5,247 along with $1,117 of interest and penalties, for a total liability of $6,364, of which $5,759 is recorded as a non-current liability and $605 as a credit offsetting deferred tax assets. The change in interest and penalties amounted to an increase of $491 in 2024, a decrease of $63 in 2023, and an increase of $160 in 2022, which were reflected in Income tax expense within our Consolidated Statement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2023 and 2022, we had total amounts of UTB that, if recognized, would impact our effective tax rate of $6,005, $4,933 and $5,463, respectively.</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2024, the U.S. federal statute of limitations for tax years 2020 and forward remains open. We also file tax returns in several states and those jurisdictions remain subject to audit in accordance with relevant state statutes. These audits can involve complex issues that may require an extended period of time to resolve and may cover multiple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expect the total amount of UTB to significantly increase or decrease over the next twelve months.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TRANSACTIONS WITH MAJOR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Major customers are defined as those with sales greater than 10 percent of consolidated sales in a given year. No customer individually exceeded 10% of our consolidated sales for 2024 and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to customers that individually exceeded 10% of our consolidated sales for 2022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Number of major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Combined percentage of</w:t>
            </w:r>
          </w:p>
        </w:tc>
        <w:tc>
          <w:tcPr>
            <w:tcW w:w="3340" w:type="dxa"/>
            <w:vAlign w:val="bottom"/>
          </w:tcPr>
          <w:p>
            <w:pPr>
              <w:spacing w:after="0"/>
              <w:rPr>
                <w:sz w:val="14"/>
                <w:szCs w:val="14"/>
                <w:color w:val="auto"/>
              </w:rPr>
            </w:pPr>
          </w:p>
        </w:tc>
      </w:tr>
      <w:tr>
        <w:trPr>
          <w:trHeight w:val="184"/>
        </w:trPr>
        <w:tc>
          <w:tcPr>
            <w:tcW w:w="33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color w:val="auto"/>
              </w:rPr>
              <w:t>Year</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4"/>
                <w:szCs w:val="14"/>
                <w:color w:val="auto"/>
              </w:rPr>
              <w:t>customers</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consolidated sales</w:t>
            </w:r>
          </w:p>
        </w:tc>
        <w:tc>
          <w:tcPr>
            <w:tcW w:w="22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Segment</w:t>
            </w:r>
          </w:p>
        </w:tc>
      </w:tr>
      <w:tr>
        <w:trPr>
          <w:trHeight w:val="161"/>
        </w:trPr>
        <w:tc>
          <w:tcPr>
            <w:tcW w:w="336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25.4%</w:t>
            </w: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FVS and SV</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COMMITMENTS AND CONTINGENT LIABILITIES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we and our subsidiaries were parties, both as plaintiff and defendant, to a number of lawsuits and claims arising out of the normal course of our businesses. In the opinion of management, our financial position, future operating results or cash flows will not be materially affected by the final outcome of these legal proceedings.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Warranty Related</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provide limited warranties against assembly/construction defects. These warranties generally provide for the replacement or repair of defective parts or workmanship for a specified period following the date of sale. The end users also may receive limited warranties from suppliers of components that are incorporated into our chassis and vehicles.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warranty and other related claims involve matters of dispute that ultimately are resolved by negotiation, arbitration or litigation. Infrequently, a material warranty issue can arise which is beyond the scope of our historical experience. We provide for any such warranty issues as they become known and are estimable. It is reasonably possible that additional warranty and other related claims could arise from disputes or other matters beyond the scope of our historical experience. An estimate of possible penalty or loss, if any, cannot be made at this time.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Changes in our warranty liability during the years ended December 31, 2024 and 2023 were as follows:</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0"/>
        </w:trPr>
        <w:tc>
          <w:tcPr>
            <w:tcW w:w="6240" w:type="dxa"/>
            <w:vAlign w:val="bottom"/>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24"/>
                <w:szCs w:val="24"/>
                <w:color w:val="auto"/>
              </w:rPr>
            </w:pPr>
          </w:p>
        </w:tc>
      </w:tr>
      <w:tr>
        <w:trPr>
          <w:trHeight w:val="16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of accrued warranty, beginning of year</w:t>
            </w:r>
          </w:p>
        </w:tc>
        <w:tc>
          <w:tcPr>
            <w:tcW w:w="104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7,161</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Accruals for warranties issued</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5,882</w:t>
            </w:r>
          </w:p>
        </w:tc>
      </w:tr>
      <w:tr>
        <w:trPr>
          <w:trHeight w:val="17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liability for pre-existing warranties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(1,309)</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Cash settlements</w:t>
            </w:r>
          </w:p>
        </w:tc>
        <w:tc>
          <w:tcPr>
            <w:tcW w:w="10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(4,488)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(4,503)</w:t>
            </w:r>
          </w:p>
        </w:tc>
      </w:tr>
      <w:tr>
        <w:trPr>
          <w:trHeight w:val="17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Balance of accrued warranty, end of year</w:t>
            </w:r>
          </w:p>
        </w:tc>
        <w:tc>
          <w:tcPr>
            <w:tcW w:w="1040" w:type="dxa"/>
            <w:vAlign w:val="bottom"/>
          </w:tcPr>
          <w:p>
            <w:pPr>
              <w:jc w:val="right"/>
              <w:ind w:right="91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7,653</w:t>
            </w:r>
          </w:p>
        </w:tc>
        <w:tc>
          <w:tcPr>
            <w:tcW w:w="120" w:type="dxa"/>
            <w:vAlign w:val="bottom"/>
          </w:tcPr>
          <w:p>
            <w:pPr>
              <w:spacing w:after="0"/>
              <w:rPr>
                <w:sz w:val="13"/>
                <w:szCs w:val="13"/>
                <w:color w:val="auto"/>
              </w:rPr>
            </w:pPr>
          </w:p>
        </w:tc>
        <w:tc>
          <w:tcPr>
            <w:tcW w:w="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7,231</w:t>
            </w:r>
          </w:p>
        </w:tc>
      </w:tr>
      <w:tr>
        <w:trPr>
          <w:trHeight w:val="20"/>
        </w:trPr>
        <w:tc>
          <w:tcPr>
            <w:tcW w:w="6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 Relating to Environmental Matters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previously disclosed, in May 2020, the Company received an information request from the United States Environmental Protection Agency (“EPA”) requesting certain information regarding emissions labels on chassis, vocational vehicles, and vehicles that the Company manufactured or imported into the U.S. between January 1, 2017 to the date the Company received the request in May 2020. The Company responded to the EPA’s request and furnished the requested materials in the third quarter of 2020.</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6, 2022, the Company received a Notice of Violation from the EPA alleging a failure to secure certain certifications on manufactured chassis and a failure to comply with recordkeeping and reporting requirements related to supplier-provided chassis.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September 27, 2024, the Company received the final approval from the EPA to settle this matter for $2,000. We paid the settlement in full in October of 2024.</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DEFINED CONTRIBUTION PLANS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sponsor defined contribution retirement plans which cover all employees who meet length of service and minimum age requirements. Our matching contributions vest over five years and were $3,558, $3,631, and $3,291 in 2024, 2023, and 2022, respectively. These amounts are expensed as incurred.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12 – DEBT</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Short-term debt consists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6"/>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December 31,</w:t>
            </w:r>
          </w:p>
        </w:tc>
      </w:tr>
      <w:tr>
        <w:trPr>
          <w:trHeight w:val="184"/>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r>
      <w:tr>
        <w:trPr>
          <w:trHeight w:val="16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Chassis pool agreements</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37,032</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34,496</w:t>
            </w:r>
          </w:p>
        </w:tc>
      </w:tr>
      <w:tr>
        <w:trPr>
          <w:trHeight w:val="20"/>
        </w:trPr>
        <w:tc>
          <w:tcPr>
            <w:tcW w:w="6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1"/>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Total short-term debt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34,496</w:t>
            </w: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Chassis Pool Agreements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obtains certain vehicle chassis for its walk-in vans, service bodies and specialty vehicles directly from the chassis manufacturers under converter pool agreements. Chassis are obtained from the manufacturers based on orders from customers, and in some cases, for unallocated orders. The agreements generally state that the manufacturer will provide a supply of chassis to be maintained at the Company’s facilities with the condition that we will store such chassis and will not move, sell, or otherwise dispose of such chassis except under the terms of the agreement. In addition, the manufacturer typically retains the sole authority to authorize commencement of work on the chassis and to make certain other decisions with respect to the chassis including the terms and pricing of sales of the chassis to the manufacturer’s dealers. The manufacturer also does not transfer the certificate of origin to the Company nor permit the Company to sell or transfer the chassis to anyone other than the manufacturer (for ultimate resale to a dealer).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Although the Company is party to related finance agreements with manufacturers, the Company has not historically settled related obligations in cash, except as required under our credit agreement. Instead, the obligation is settled by the manufacturer upon reassignment of the chassis to an accepted dealer, and the dealer is invoiced for the chassis by the manufacturer. Accordingly, as of December 31, 2024 and December 31, 2023, the Company’s outstanding chassis converter pool with manufacturers totaled $37,032 and $34,496, respectively, and the Company has included this financing agreement on the Company’s Consolidated Balance Sheets within </w:t>
      </w:r>
      <w:r>
        <w:rPr>
          <w:rFonts w:ascii="Times New Roman" w:cs="Times New Roman" w:eastAsia="Times New Roman" w:hAnsi="Times New Roman"/>
          <w:sz w:val="14"/>
          <w:szCs w:val="14"/>
          <w:i w:val="1"/>
          <w:iCs w:val="1"/>
          <w:color w:val="auto"/>
        </w:rPr>
        <w:t>Other receivables – chassis pool agreements and Short-term debt – chassis pool agreements</w:t>
      </w:r>
      <w:r>
        <w:rPr>
          <w:rFonts w:ascii="Times New Roman" w:cs="Times New Roman" w:eastAsia="Times New Roman" w:hAnsi="Times New Roman"/>
          <w:sz w:val="14"/>
          <w:szCs w:val="14"/>
          <w:color w:val="auto"/>
        </w:rPr>
        <w:t>. Typically, chassis are converted and delivered to customers within 90 days of the receipt of the chassis by the Company. The chassis converter pool is a non-cash arrangement and is offsetting between current assets and current liabilities on the Company’s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consists of the following:</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6"/>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December 31,</w:t>
            </w:r>
          </w:p>
        </w:tc>
      </w:tr>
      <w:tr>
        <w:trPr>
          <w:trHeight w:val="184"/>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r>
      <w:tr>
        <w:trPr>
          <w:trHeight w:val="16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Revolving credit facility</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95,000</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obligations</w:t>
            </w:r>
          </w:p>
        </w:tc>
        <w:tc>
          <w:tcPr>
            <w:tcW w:w="22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329</w:t>
            </w:r>
          </w:p>
        </w:tc>
      </w:tr>
      <w:tr>
        <w:trPr>
          <w:trHeight w:val="20"/>
        </w:trPr>
        <w:tc>
          <w:tcPr>
            <w:tcW w:w="6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95,458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50,329</w:t>
            </w:r>
          </w:p>
        </w:tc>
      </w:tr>
      <w:tr>
        <w:trPr>
          <w:trHeight w:val="170"/>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22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(185)</w:t>
            </w:r>
          </w:p>
        </w:tc>
      </w:tr>
      <w:tr>
        <w:trPr>
          <w:trHeight w:val="20"/>
        </w:trPr>
        <w:tc>
          <w:tcPr>
            <w:tcW w:w="6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long-term debt</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95,223</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50,144</w:t>
            </w:r>
          </w:p>
        </w:tc>
      </w:tr>
      <w:tr>
        <w:trPr>
          <w:trHeight w:val="20"/>
        </w:trPr>
        <w:tc>
          <w:tcPr>
            <w:tcW w:w="6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30, 2021, we entered into an Amended and Restated Credit Agreement (the "Credit Agreement") by and among us and certain of our subsidiaries as borrowers, Wells Fargo Bank, N.A., as administrative agent, and the lenders party thereto consisting of Wells Fargo, N.A., JPMorgan Chase Bank, N.A., PNC Bank, N.A. and Bank of America, N.A. (the "Lenders"). Certain of our other subsidiaries have executed guaranties guarantying the borrowers' obligations under the Credit Agreement.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27, 2024, we entered into the Second Amendment to Amended and Restated Credit Agreement (the “Credit Agreement”). The Credit Agreement, among other things, (i) reduced the revolving credit commitments from $400,000 to $300,000, (ii) increased the applicable margin for term Secured Overnight Financing Rate ("SOFR") loans and base rate loans, (iii) adjusted the calculation of debt for purposes of determining the leverage ratio and (iv) temporarily increased the maximum leverage ratio through June 30, 2024.</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Credit Agreement, we may borrow up to $300,000 from the Lenders under a secured revolving credit facility which matures November 30, 2026. We may also request an increase in the facility of up to $200,000 in the aggregate, subject to customary conditions. The revolving credit facility is also available for the issuance of letters of credit of up to $20,000 and swing line loans of up to $10,000, subject to certain limitations and restrictions. The revolving credit facility carries an interest rate of either (i) the highest of prime rate, the federal funds effective rate from time to time plus 0.5%, or the one month adjusted SOFR including a credit spread adjustment plus 2.0%; or (ii) adjusted SOFR, in each case plus a margin based upon our ratio of debt to earnings from time to time. The applicable borrowing rate including the margin was 6.2% (or one-month SOFR including a credit spread adjustment plus 1.75%) at December 31, 2024. The revolving credit facility is secured by security interests in, and liens on, all assets of the borrowers and guarantors, other than real property and certain other excluded assets. At December 31, 2024 and December 31, 2023, we had outstanding letters of credit totaling $1,900 and $1,550, respectively, related to our workers’ compensation insurance.</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terms of our Credit Agreement, available borrowings (exclusive of outstanding borrowings) totaled $77,950 and $83,243 at December 31, 2024 and December 31, 2023,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Our net leverage ratio limits available borrowings. At December 31, 2024 and December 31, 2023, we were in compliance with all covenants in our Credit Agreement.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STOCK BASED COMPENSATION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stock incentive plans covering certain employees and non-employee directors. Shares reserved for stock awards under these plans total 5,056,250. Total shares remaining available for stock incentive grants under these plans totaled 441,134 at December 31, 2024. We are currently authorized to grant new restricted stock, restricted stock units, performance stock units, stock options and stock appreciation rights under our Stock Incentive Plan of 2016.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Restricted Stock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issue restricted stock, at no cash cost, to our key employees. Shares awarded entitle the shareholder to all rights of common stock ownership except that the shares are subject to the risk of forfeiture and may not be sold, transferred, pledged, exchanged or otherwise disposed of during the vesting period, which is three years. The unearned stock-based compensation related to restricted stock awards, using the market price on the date of grant, is being amortized to compensation expense over the applicable vesting periods.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receive an excess tax benefit or liability during the period the restricted shares vest. The excess tax benefit (liability) is determined by the excess (shortfall) of the market price of the stock on date of vesting over (under) the grant date market price used to amortize the awards to compensation expense. As required, any excess tax benefits or liabilities are reported in the Consolidated Statements of Cash Flows as operating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activity for the years ended December 31, 2024, 2023, and 2022, is as follows: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6"/>
        </w:trPr>
        <w:tc>
          <w:tcPr>
            <w:tcW w:w="5080" w:type="dxa"/>
            <w:vAlign w:val="bottom"/>
          </w:tcPr>
          <w:p>
            <w:pPr>
              <w:spacing w:after="0"/>
              <w:rPr>
                <w:sz w:val="24"/>
                <w:szCs w:val="24"/>
                <w:color w:val="auto"/>
              </w:rPr>
            </w:pPr>
          </w:p>
        </w:tc>
        <w:tc>
          <w:tcPr>
            <w:tcW w:w="118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Weighted</w:t>
            </w:r>
          </w:p>
        </w:tc>
      </w:tr>
      <w:tr>
        <w:trPr>
          <w:trHeight w:val="170"/>
        </w:trPr>
        <w:tc>
          <w:tcPr>
            <w:tcW w:w="5080" w:type="dxa"/>
            <w:vAlign w:val="bottom"/>
          </w:tcPr>
          <w:p>
            <w:pPr>
              <w:spacing w:after="0"/>
              <w:rPr>
                <w:sz w:val="14"/>
                <w:szCs w:val="14"/>
                <w:color w:val="auto"/>
              </w:rPr>
            </w:pPr>
          </w:p>
        </w:tc>
        <w:tc>
          <w:tcPr>
            <w:tcW w:w="118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Number of</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w w:val="99"/>
              </w:rPr>
              <w:t>Weighted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Average</w:t>
            </w:r>
          </w:p>
        </w:tc>
      </w:tr>
      <w:tr>
        <w:trPr>
          <w:trHeight w:val="170"/>
        </w:trPr>
        <w:tc>
          <w:tcPr>
            <w:tcW w:w="5080" w:type="dxa"/>
            <w:vAlign w:val="bottom"/>
          </w:tcPr>
          <w:p>
            <w:pPr>
              <w:spacing w:after="0"/>
              <w:rPr>
                <w:sz w:val="14"/>
                <w:szCs w:val="14"/>
                <w:color w:val="auto"/>
              </w:rPr>
            </w:pPr>
          </w:p>
        </w:tc>
        <w:tc>
          <w:tcPr>
            <w:tcW w:w="118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Non-vested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w w:val="96"/>
              </w:rPr>
              <w:t>Average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Remaining</w:t>
            </w:r>
          </w:p>
        </w:tc>
      </w:tr>
      <w:tr>
        <w:trPr>
          <w:trHeight w:val="170"/>
        </w:trPr>
        <w:tc>
          <w:tcPr>
            <w:tcW w:w="5080" w:type="dxa"/>
            <w:vAlign w:val="bottom"/>
          </w:tcPr>
          <w:p>
            <w:pPr>
              <w:spacing w:after="0"/>
              <w:rPr>
                <w:sz w:val="14"/>
                <w:szCs w:val="14"/>
                <w:color w:val="auto"/>
              </w:rPr>
            </w:pPr>
          </w:p>
        </w:tc>
        <w:tc>
          <w:tcPr>
            <w:tcW w:w="118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Shares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Grant Date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Vesting Life</w:t>
            </w:r>
          </w:p>
        </w:tc>
      </w:tr>
      <w:tr>
        <w:trPr>
          <w:trHeight w:val="184"/>
        </w:trPr>
        <w:tc>
          <w:tcPr>
            <w:tcW w:w="5080" w:type="dxa"/>
            <w:vAlign w:val="bottom"/>
          </w:tcPr>
          <w:p>
            <w:pPr>
              <w:spacing w:after="0"/>
              <w:rPr>
                <w:sz w:val="16"/>
                <w:szCs w:val="16"/>
                <w:color w:val="auto"/>
              </w:rPr>
            </w:pPr>
          </w:p>
        </w:tc>
        <w:tc>
          <w:tcPr>
            <w:tcW w:w="118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color w:val="auto"/>
                <w:w w:val="98"/>
              </w:rPr>
              <w:t>(000)</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w w:val="97"/>
              </w:rPr>
              <w:t>Fair Value</w:t>
            </w:r>
          </w:p>
        </w:tc>
        <w:tc>
          <w:tcPr>
            <w:tcW w:w="4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(Years)</w:t>
            </w:r>
          </w:p>
        </w:tc>
        <w:tc>
          <w:tcPr>
            <w:tcW w:w="80" w:type="dxa"/>
            <w:vAlign w:val="bottom"/>
          </w:tcPr>
          <w:p>
            <w:pPr>
              <w:spacing w:after="0"/>
              <w:rPr>
                <w:sz w:val="16"/>
                <w:szCs w:val="16"/>
                <w:color w:val="auto"/>
              </w:rPr>
            </w:pPr>
          </w:p>
        </w:tc>
      </w:tr>
      <w:tr>
        <w:trPr>
          <w:trHeight w:val="161"/>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shares outstanding at January 1, 2022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w:t>
            </w:r>
          </w:p>
        </w:tc>
      </w:tr>
      <w:tr>
        <w:trPr>
          <w:trHeight w:val="170"/>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Vested</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(91)</w:t>
            </w:r>
          </w:p>
        </w:tc>
        <w:tc>
          <w:tcPr>
            <w:tcW w:w="1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Non-vested shares outstanding at December 31, 2022</w:t>
            </w:r>
          </w:p>
        </w:tc>
        <w:tc>
          <w:tcPr>
            <w:tcW w:w="1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80" w:type="dxa"/>
            <w:vAlign w:val="bottom"/>
            <w:tcBorders>
              <w:top w:val="single" w:sz="8" w:color="CCEEFF"/>
            </w:tcBorders>
          </w:tcPr>
          <w:p>
            <w:pPr>
              <w:spacing w:after="0"/>
              <w:rPr>
                <w:sz w:val="13"/>
                <w:szCs w:val="13"/>
                <w:color w:val="auto"/>
              </w:rPr>
            </w:pPr>
          </w:p>
        </w:tc>
        <w:tc>
          <w:tcPr>
            <w:tcW w:w="16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w:t>
            </w:r>
          </w:p>
        </w:tc>
      </w:tr>
      <w:tr>
        <w:trPr>
          <w:trHeight w:val="161"/>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0"/>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1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1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shares outstanding at December 31, 2023</w:t>
            </w:r>
          </w:p>
        </w:tc>
        <w:tc>
          <w:tcPr>
            <w:tcW w:w="118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1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0.3</w:t>
            </w:r>
          </w:p>
        </w:tc>
      </w:tr>
      <w:tr>
        <w:trPr>
          <w:trHeight w:val="171"/>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11.74</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1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(297)</w:t>
            </w: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Non-vested shares outstanding at December 31, 2024</w:t>
            </w:r>
          </w:p>
        </w:tc>
        <w:tc>
          <w:tcPr>
            <w:tcW w:w="1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0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11.74</w:t>
            </w:r>
          </w:p>
        </w:tc>
        <w:tc>
          <w:tcPr>
            <w:tcW w:w="16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w:t>
            </w:r>
          </w:p>
        </w:tc>
      </w:tr>
    </w:tbl>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weighted-average grant date fair value of non-vested shares granted was $11.74, none, and none for the years ended December 31, 2024, 2023 and 2022. During 2024, 2023 and 2022, we recorded compensation expense, net of cancellations, of $3,389, $790, and $1,189, related to restricted stock awards. The total income tax benefit related to restricted stock awards was $578, $196, and $275 for 2024, 2023 and 2022. For the years ended December 31, 2024, 2023, and 2022, restricted shares vested with a fair market value of $3,496, $1,049, and $1,591. As of December 31, 2024, we had unearned stock-based compensation of $4,214 associated with these restricted stock grants, which will be recognized over a weighted average of 3.4 years.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Performance Stock Units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2023, and 2022, we granted 342,334, 294,191, and 124,427 performance stock units (“PSUs”), respectively, to certain employees, which are earned over a three-year service period.</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After completion of the performance period, the number of PSUs earned will be issued as shares of common stock. The aggregate number of shares of common stock that ultimately may be issued under PSUs where the performance period has not been completed can range from 0% to 200% of the target amount. The awards will generally be forfeited if a participant leaves the Company for reasons other than retirement, disability or death.</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dividend equivalent is calculated based on the actual number of units earned at the end of the performance period equal to the dividends that would have been payable on the earned units had they been held during the entire performance period as common stock. At the end of the performance period, the dividend equivalents are paid in the form of cash at the discretion of the Human Resources and Compensation Committee.</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136,933, 89,804 and 49,769 of the PSUs granted in 2024, 2023, and 2022, respectively, are earned based on our three-year cumulative GAAP net income, subject to such adjustments as approved by the Company’s Human Resources and Compensation Committee in its sole discretion (“Net Income PSUs”), which is a performance condition. The number of shares that may be earned under the Net Income PSUs and Exceptional Performance PSUs can range from 0% to 200% of the target amount. The Net Income PSUs and Exceptional Performance PSUs are expensed and recorded in Common stock on the Consolidated Balance Sheets over the performance period based on the probability that the performance conditions will be met. The expense recorded will be adjusted as the estimate of the total number of Net Income PSUs and Exceptional Performance PSUs that will ultimately be earned changes. The grant date fair value per unit is equal to the closing price of the Company’s stock on the date of grant.</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205,401, 204,387, and 74,658 of the PSUs granted in 2024, 2023, and 2022, respectively, are earned based on achievement of certain total shareholder return results relative to a comparison group of companies (“TSR PSUs”), which is a market condition. The number of shares that may be earned under the TSR PSUs can range from 0% to 200% of the target amount. The TSR PSUs are expensed and recorded in Common stock on the Consolidated Balance Sheets over the performance period.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the TSR PSUs granted was calculated using the Monte Carlo simulation model which resulted in the weighted average grant date fair value for these TSR PSUs of $16.77, 24.35 and $43.41 per unit in 2024, 2023, and 2022,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Monte Carlo simulation was computed using the following assumptions: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0"/>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Granted in 2024</w:t>
            </w: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Granted in 2023</w:t>
            </w: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Granted in 2022</w:t>
            </w:r>
          </w:p>
        </w:tc>
        <w:tc>
          <w:tcPr>
            <w:tcW w:w="120" w:type="dxa"/>
            <w:vAlign w:val="bottom"/>
          </w:tcPr>
          <w:p>
            <w:pPr>
              <w:spacing w:after="0"/>
              <w:rPr>
                <w:sz w:val="24"/>
                <w:szCs w:val="24"/>
                <w:color w:val="auto"/>
              </w:rPr>
            </w:pPr>
          </w:p>
        </w:tc>
      </w:tr>
      <w:tr>
        <w:trPr>
          <w:trHeight w:val="161"/>
        </w:trPr>
        <w:tc>
          <w:tcPr>
            <w:tcW w:w="1140" w:type="dxa"/>
            <w:vAlign w:val="bottom"/>
          </w:tcPr>
          <w:p>
            <w:pPr>
              <w:spacing w:after="0"/>
              <w:rPr>
                <w:sz w:val="13"/>
                <w:szCs w:val="13"/>
                <w:color w:val="auto"/>
              </w:rPr>
            </w:pPr>
          </w:p>
        </w:tc>
        <w:tc>
          <w:tcPr>
            <w:tcW w:w="514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2"/>
                <w:szCs w:val="12"/>
                <w:color w:val="auto"/>
              </w:rPr>
              <w:t xml:space="preserve">Risk-free rate of return </w:t>
            </w:r>
            <w:r>
              <w:rPr>
                <w:rFonts w:ascii="Times New Roman" w:cs="Times New Roman" w:eastAsia="Times New Roman" w:hAnsi="Times New Roman"/>
                <w:sz w:val="18"/>
                <w:szCs w:val="18"/>
                <w:color w:val="auto"/>
                <w:vertAlign w:val="superscript"/>
              </w:rPr>
              <w:t>(1)</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4.45%</w:t>
            </w:r>
          </w:p>
        </w:tc>
        <w:tc>
          <w:tcPr>
            <w:tcW w:w="1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4.15%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70"/>
        </w:trPr>
        <w:tc>
          <w:tcPr>
            <w:tcW w:w="114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w:t>
            </w:r>
          </w:p>
        </w:tc>
        <w:tc>
          <w:tcPr>
            <w:tcW w:w="126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w:t>
            </w:r>
          </w:p>
        </w:tc>
      </w:tr>
      <w:tr>
        <w:trPr>
          <w:trHeight w:val="170"/>
        </w:trPr>
        <w:tc>
          <w:tcPr>
            <w:tcW w:w="1140" w:type="dxa"/>
            <w:vAlign w:val="bottom"/>
          </w:tcPr>
          <w:p>
            <w:pPr>
              <w:spacing w:after="0"/>
              <w:rPr>
                <w:sz w:val="14"/>
                <w:szCs w:val="14"/>
                <w:color w:val="auto"/>
              </w:rPr>
            </w:pPr>
          </w:p>
        </w:tc>
        <w:tc>
          <w:tcPr>
            <w:tcW w:w="514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 xml:space="preserve">Estimated volatility </w:t>
            </w:r>
            <w:r>
              <w:rPr>
                <w:rFonts w:ascii="Times New Roman" w:cs="Times New Roman" w:eastAsia="Times New Roman" w:hAnsi="Times New Roman"/>
                <w:sz w:val="19"/>
                <w:szCs w:val="19"/>
                <w:color w:val="auto"/>
                <w:vertAlign w:val="superscript"/>
              </w:rPr>
              <w:t>(2)</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54.5%</w:t>
            </w:r>
          </w:p>
        </w:tc>
        <w:tc>
          <w:tcPr>
            <w:tcW w:w="1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49.5%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r>
    </w:tbl>
    <w:p>
      <w:pPr>
        <w:spacing w:after="0" w:line="121" w:lineRule="exact"/>
        <w:rPr>
          <w:sz w:val="20"/>
          <w:szCs w:val="20"/>
          <w:color w:val="auto"/>
        </w:rPr>
      </w:pPr>
    </w:p>
    <w:p>
      <w:pPr>
        <w:ind w:left="260" w:hanging="255"/>
        <w:spacing w:after="0"/>
        <w:tabs>
          <w:tab w:leader="none" w:pos="2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the U.S. government bond benchmark on the grant date.</w:t>
      </w:r>
    </w:p>
    <w:p>
      <w:pPr>
        <w:spacing w:after="0" w:line="1" w:lineRule="exact"/>
        <w:rPr>
          <w:rFonts w:ascii="Times New Roman" w:cs="Times New Roman" w:eastAsia="Times New Roman" w:hAnsi="Times New Roman"/>
          <w:sz w:val="19"/>
          <w:szCs w:val="19"/>
          <w:color w:val="auto"/>
          <w:vertAlign w:val="superscript"/>
        </w:rPr>
      </w:pPr>
    </w:p>
    <w:p>
      <w:pPr>
        <w:ind w:left="260" w:hanging="255"/>
        <w:spacing w:after="0" w:line="184" w:lineRule="auto"/>
        <w:tabs>
          <w:tab w:leader="none" w:pos="2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historical price volatility of the Company’s common stock for the three-year period preceding the grant date.</w:t>
      </w:r>
    </w:p>
    <w:p>
      <w:pPr>
        <w:spacing w:after="0" w:line="15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total PSU expense and associated tax benefit for all outstanding awards for the year ended December 31, 2024 was $1,054 and $193, respectively, for the year ended December 31, 2023 was $2,790 and $70, respectively, and for the year ended December 31, 2022 was $3,176 and $197, respectively.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ectPr>
          <w:pgSz w:w="11900" w:h="16838" w:orient="portrait"/>
          <w:cols w:equalWidth="0" w:num="1">
            <w:col w:w="11280"/>
          </w:cols>
          <w:pgMar w:left="300" w:top="314" w:right="31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PSU activity for the years ended December 31, 2024, 2023, and 2022,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Non-vested 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-99060</wp:posOffset>
            </wp:positionV>
            <wp:extent cx="6440170" cy="114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440170" cy="11493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Granted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-101600</wp:posOffset>
            </wp:positionV>
            <wp:extent cx="6440170" cy="107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440170" cy="1079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Non-vested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-101600</wp:posOffset>
            </wp:positionV>
            <wp:extent cx="6440170" cy="1149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440170" cy="11493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Granted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-101600</wp:posOffset>
            </wp:positionV>
            <wp:extent cx="6440170" cy="1079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440170" cy="1079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Non-vested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-101600</wp:posOffset>
            </wp:positionV>
            <wp:extent cx="6440170" cy="1149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440170" cy="11493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Granted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-94615</wp:posOffset>
            </wp:positionV>
            <wp:extent cx="6440170" cy="1149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440170" cy="11493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15240</wp:posOffset>
            </wp:positionV>
            <wp:extent cx="6440170" cy="128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440170" cy="128270"/>
                    </a:xfrm>
                    <a:prstGeom prst="rect">
                      <a:avLst/>
                    </a:prstGeom>
                    <a:noFill/>
                  </pic:spPr>
                </pic:pic>
              </a:graphicData>
            </a:graphic>
          </wp:anchor>
        </w:drawing>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Non-vested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Weighted-</w:t>
            </w:r>
          </w:p>
        </w:tc>
      </w:tr>
      <w:tr>
        <w:trPr>
          <w:trHeight w:val="170"/>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Average</w:t>
            </w:r>
          </w:p>
        </w:tc>
      </w:tr>
      <w:tr>
        <w:trPr>
          <w:trHeight w:val="170"/>
        </w:trPr>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Total Number of Non-</w:t>
            </w: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Grant Date</w:t>
            </w:r>
          </w:p>
        </w:tc>
      </w:tr>
      <w:tr>
        <w:trPr>
          <w:trHeight w:val="170"/>
        </w:trPr>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w w:val="99"/>
              </w:rPr>
              <w:t>vested Shares</w:t>
            </w: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Fair Value</w:t>
            </w:r>
          </w:p>
        </w:tc>
      </w:tr>
      <w:tr>
        <w:trPr>
          <w:trHeight w:val="184"/>
        </w:trPr>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per Unit</w:t>
            </w:r>
          </w:p>
        </w:tc>
      </w:tr>
      <w:tr>
        <w:trPr>
          <w:trHeight w:val="161"/>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20" w:type="dxa"/>
            <w:vAlign w:val="bottom"/>
          </w:tcPr>
          <w:p>
            <w:pPr>
              <w:spacing w:after="0"/>
              <w:rPr>
                <w:sz w:val="14"/>
                <w:szCs w:val="14"/>
                <w:color w:val="auto"/>
              </w:rPr>
            </w:pPr>
          </w:p>
        </w:tc>
      </w:tr>
      <w:tr>
        <w:trPr>
          <w:trHeight w:val="146"/>
        </w:trPr>
        <w:tc>
          <w:tcPr>
            <w:tcW w:w="15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40.49</w:t>
            </w:r>
          </w:p>
        </w:tc>
      </w:tr>
      <w:tr>
        <w:trPr>
          <w:trHeight w:val="170"/>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(194)</w:t>
            </w:r>
          </w:p>
        </w:tc>
        <w:tc>
          <w:tcPr>
            <w:tcW w:w="26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11.82</w:t>
            </w:r>
          </w:p>
        </w:tc>
      </w:tr>
      <w:tr>
        <w:trPr>
          <w:trHeight w:val="185"/>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28.27</w:t>
            </w:r>
          </w:p>
        </w:tc>
      </w:tr>
      <w:tr>
        <w:trPr>
          <w:trHeight w:val="161"/>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375</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29.31</w:t>
            </w:r>
          </w:p>
        </w:tc>
      </w:tr>
      <w:tr>
        <w:trPr>
          <w:trHeight w:val="146"/>
        </w:trPr>
        <w:tc>
          <w:tcPr>
            <w:tcW w:w="15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294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23.86</w:t>
            </w:r>
          </w:p>
        </w:tc>
      </w:tr>
      <w:tr>
        <w:trPr>
          <w:trHeight w:val="170"/>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(187)</w:t>
            </w:r>
          </w:p>
        </w:tc>
        <w:tc>
          <w:tcPr>
            <w:tcW w:w="26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20.89</w:t>
            </w:r>
          </w:p>
        </w:tc>
      </w:tr>
      <w:tr>
        <w:trPr>
          <w:trHeight w:val="185"/>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36.89</w:t>
            </w:r>
          </w:p>
        </w:tc>
      </w:tr>
      <w:tr>
        <w:trPr>
          <w:trHeight w:val="161"/>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443</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30.99</w:t>
            </w:r>
          </w:p>
        </w:tc>
      </w:tr>
      <w:tr>
        <w:trPr>
          <w:trHeight w:val="156"/>
        </w:trPr>
        <w:tc>
          <w:tcPr>
            <w:tcW w:w="154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342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15.03</w:t>
            </w:r>
          </w:p>
        </w:tc>
      </w:tr>
      <w:tr>
        <w:trPr>
          <w:trHeight w:val="181"/>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(67)</w:t>
            </w:r>
          </w:p>
        </w:tc>
        <w:tc>
          <w:tcPr>
            <w:tcW w:w="26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47.84</w:t>
            </w:r>
          </w:p>
        </w:tc>
      </w:tr>
      <w:tr>
        <w:trPr>
          <w:trHeight w:val="185"/>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(178)</w:t>
            </w:r>
          </w:p>
        </w:tc>
        <w:tc>
          <w:tcPr>
            <w:tcW w:w="26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24.15</w:t>
            </w:r>
          </w:p>
        </w:tc>
      </w:tr>
      <w:tr>
        <w:trPr>
          <w:trHeight w:val="161"/>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540</w:t>
            </w:r>
          </w:p>
        </w:tc>
        <w:tc>
          <w:tcPr>
            <w:tcW w:w="180" w:type="dxa"/>
            <w:vAlign w:val="bottom"/>
          </w:tcPr>
          <w:p>
            <w:pPr>
              <w:spacing w:after="0"/>
              <w:rPr>
                <w:sz w:val="13"/>
                <w:szCs w:val="13"/>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18.06</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5" w:lineRule="exact"/>
        <w:rPr>
          <w:sz w:val="20"/>
          <w:szCs w:val="20"/>
          <w:color w:val="auto"/>
        </w:rPr>
      </w:pPr>
    </w:p>
    <w:p>
      <w:pPr>
        <w:sectPr>
          <w:pgSz w:w="11900" w:h="16838" w:orient="portrait"/>
          <w:cols w:equalWidth="0" w:num="2">
            <w:col w:w="6660" w:space="720"/>
            <w:col w:w="3900"/>
          </w:cols>
          <w:pgMar w:left="300" w:top="314" w:right="319" w:bottom="1440" w:gutter="0" w:footer="0" w:header="0"/>
          <w:type w:val="continuous"/>
        </w:sect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there was $4,205 of remaining unrecognized compensation cost related to non-vested PSUs, which is expected to be recognized over a remaining weighted-average period of 1.6 years.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Restricted Stock Units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December 31, 2024, 2023, and 2022, we awarded 552,644, 273,904, and 241,217 restricted stock units (“RSUs”), respectively, to certain employees and Board members. These RSUs generally vest ratably over three years after the date of grant for employees and vest one year after date of grant for Board members, at which time the units will be issued as unrestricted shares of common stock. RSUs are expensed and recorded in Common stock on the Consolidated Balance Sheets over the requisite service period based on the value of the underlying shares on the date of grant. Upon vesting, the dividend equivalents are paid in the form of cash at the discretion of the Human Resources and Compensation Committee.</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RSU expense and associated tax benefit for all outstanding awards for the year ended December 31, 2024 was $5,808 and $1,143, respectively, awards for the year ended December 31, 2023 was $4,254 and $742, respectively and, for the year ended December 31, 2022 was $3,253 and $668, respectively.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ectPr>
          <w:pgSz w:w="11900" w:h="16838" w:orient="portrait"/>
          <w:cols w:equalWidth="0" w:num="1">
            <w:col w:w="11280"/>
          </w:cols>
          <w:pgMar w:left="300" w:top="314" w:right="31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RSU activity for the years ended December 31, 2024, 2023, and 2022,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Non-vested 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-99060</wp:posOffset>
            </wp:positionV>
            <wp:extent cx="6440170" cy="1149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440170" cy="11493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Granted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-101600</wp:posOffset>
            </wp:positionV>
            <wp:extent cx="6440170" cy="1079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440170" cy="1079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Non-vested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-101600</wp:posOffset>
            </wp:positionV>
            <wp:extent cx="6440170" cy="1149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440170" cy="11493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Granted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-101600</wp:posOffset>
            </wp:positionV>
            <wp:extent cx="6440170" cy="1079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440170" cy="1079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Non-vested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-101600</wp:posOffset>
            </wp:positionV>
            <wp:extent cx="6440170" cy="1149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440170" cy="11493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Granted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-101600</wp:posOffset>
            </wp:positionV>
            <wp:extent cx="6440170" cy="107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440170" cy="1079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12700</wp:posOffset>
            </wp:positionV>
            <wp:extent cx="6440170" cy="1282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440170" cy="128270"/>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Non-vested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Weighted-</w:t>
            </w:r>
          </w:p>
        </w:tc>
      </w:tr>
      <w:tr>
        <w:trPr>
          <w:trHeight w:val="170"/>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Average</w:t>
            </w:r>
          </w:p>
        </w:tc>
      </w:tr>
      <w:tr>
        <w:trPr>
          <w:trHeight w:val="170"/>
        </w:trPr>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Total Number of Non-</w:t>
            </w: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Grant Date</w:t>
            </w:r>
          </w:p>
        </w:tc>
      </w:tr>
      <w:tr>
        <w:trPr>
          <w:trHeight w:val="170"/>
        </w:trPr>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w w:val="99"/>
              </w:rPr>
              <w:t>vested Shares</w:t>
            </w: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Fair Value</w:t>
            </w:r>
          </w:p>
        </w:tc>
      </w:tr>
      <w:tr>
        <w:trPr>
          <w:trHeight w:val="184"/>
        </w:trPr>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per Unit</w:t>
            </w:r>
          </w:p>
        </w:tc>
      </w:tr>
      <w:tr>
        <w:trPr>
          <w:trHeight w:val="161"/>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20" w:type="dxa"/>
            <w:vAlign w:val="bottom"/>
          </w:tcPr>
          <w:p>
            <w:pPr>
              <w:spacing w:after="0"/>
              <w:rPr>
                <w:sz w:val="14"/>
                <w:szCs w:val="14"/>
                <w:color w:val="auto"/>
              </w:rPr>
            </w:pPr>
          </w:p>
        </w:tc>
      </w:tr>
      <w:tr>
        <w:trPr>
          <w:trHeight w:val="146"/>
        </w:trPr>
        <w:tc>
          <w:tcPr>
            <w:tcW w:w="15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241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29.58</w:t>
            </w:r>
          </w:p>
        </w:tc>
      </w:tr>
      <w:tr>
        <w:trPr>
          <w:trHeight w:val="170"/>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22.15</w:t>
            </w:r>
          </w:p>
        </w:tc>
      </w:tr>
      <w:tr>
        <w:trPr>
          <w:trHeight w:val="185"/>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32.96</w:t>
            </w:r>
          </w:p>
        </w:tc>
      </w:tr>
      <w:tr>
        <w:trPr>
          <w:trHeight w:val="161"/>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28.38</w:t>
            </w:r>
          </w:p>
        </w:tc>
      </w:tr>
      <w:tr>
        <w:trPr>
          <w:trHeight w:val="146"/>
        </w:trPr>
        <w:tc>
          <w:tcPr>
            <w:tcW w:w="15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274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19.38</w:t>
            </w:r>
          </w:p>
        </w:tc>
      </w:tr>
      <w:tr>
        <w:trPr>
          <w:trHeight w:val="170"/>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(154)</w:t>
            </w:r>
          </w:p>
        </w:tc>
        <w:tc>
          <w:tcPr>
            <w:tcW w:w="26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25.53</w:t>
            </w:r>
          </w:p>
        </w:tc>
      </w:tr>
      <w:tr>
        <w:trPr>
          <w:trHeight w:val="185"/>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28.47</w:t>
            </w:r>
          </w:p>
        </w:tc>
      </w:tr>
      <w:tr>
        <w:trPr>
          <w:trHeight w:val="161"/>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385</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21.05</w:t>
            </w:r>
          </w:p>
        </w:tc>
      </w:tr>
      <w:tr>
        <w:trPr>
          <w:trHeight w:val="146"/>
        </w:trPr>
        <w:tc>
          <w:tcPr>
            <w:tcW w:w="15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553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12.45</w:t>
            </w:r>
          </w:p>
        </w:tc>
      </w:tr>
      <w:tr>
        <w:trPr>
          <w:trHeight w:val="170"/>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(309)</w:t>
            </w:r>
          </w:p>
        </w:tc>
        <w:tc>
          <w:tcPr>
            <w:tcW w:w="26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21.48</w:t>
            </w:r>
          </w:p>
        </w:tc>
      </w:tr>
      <w:tr>
        <w:trPr>
          <w:trHeight w:val="185"/>
        </w:trPr>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(103)</w:t>
            </w:r>
          </w:p>
        </w:tc>
        <w:tc>
          <w:tcPr>
            <w:tcW w:w="26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16.18</w:t>
            </w:r>
          </w:p>
        </w:tc>
      </w:tr>
      <w:tr>
        <w:trPr>
          <w:trHeight w:val="161"/>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526</w:t>
            </w:r>
          </w:p>
        </w:tc>
        <w:tc>
          <w:tcPr>
            <w:tcW w:w="180" w:type="dxa"/>
            <w:vAlign w:val="bottom"/>
          </w:tcPr>
          <w:p>
            <w:pPr>
              <w:spacing w:after="0"/>
              <w:rPr>
                <w:sz w:val="13"/>
                <w:szCs w:val="13"/>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14.35</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5" w:lineRule="exact"/>
        <w:rPr>
          <w:sz w:val="20"/>
          <w:szCs w:val="20"/>
          <w:color w:val="auto"/>
        </w:rPr>
      </w:pPr>
    </w:p>
    <w:p>
      <w:pPr>
        <w:sectPr>
          <w:pgSz w:w="11900" w:h="16838" w:orient="portrait"/>
          <w:cols w:equalWidth="0" w:num="2">
            <w:col w:w="6660" w:space="720"/>
            <w:col w:w="3900"/>
          </w:cols>
          <w:pgMar w:left="300" w:top="314" w:right="319" w:bottom="1440" w:gutter="0" w:footer="0" w:header="0"/>
          <w:type w:val="continuous"/>
        </w:sect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of December 31, 2024 there was $5,311 of remaining unrecognized compensation cost related to non-vested RSUs, which is expected to be recognized over a weighted-average period of 1.8 years.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Employee Stock Purchase Plan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instituted an employee stock purchase plan (“ESPP”) beginning on October 1, 2011 whereby essentially all employees who meet certain service requirements can purchase our common stock on quarterly offering dates at 90% of the fair market value of the shares on the purchase date. A maximum of 750,000 shares are authorized for purchase. During the years ended December 31, 2024, 2023, and 2022, we received proceeds of $554, $393, and $434 for the purchase of approximately 51,000, 26,000, and 20,000 shares under the ESPP.</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SHAREHOLDERS EQUITY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17, 2022, we announced that our Board of Directors had authorized the repurchase of up to $250.0 million of our common stock. The repurchase authorization does not have an expiration date although we are currently restricted from repurchasing our common stock under the terms of the Merger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represents our purchases of our common stock during the year ended December 31, 2024 and 2023 under the share repurchase program.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Approximate Dollar Value of</w:t>
            </w:r>
          </w:p>
        </w:tc>
        <w:tc>
          <w:tcPr>
            <w:tcW w:w="2260" w:type="dxa"/>
            <w:vAlign w:val="bottom"/>
          </w:tcPr>
          <w:p>
            <w:pPr>
              <w:spacing w:after="0"/>
              <w:rPr>
                <w:sz w:val="14"/>
                <w:szCs w:val="14"/>
                <w:color w:val="auto"/>
              </w:rPr>
            </w:pPr>
          </w:p>
        </w:tc>
      </w:tr>
      <w:tr>
        <w:trPr>
          <w:trHeight w:val="170"/>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Shares</w:t>
            </w:r>
          </w:p>
        </w:tc>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Shares That</w:t>
            </w:r>
          </w:p>
        </w:tc>
        <w:tc>
          <w:tcPr>
            <w:tcW w:w="2260" w:type="dxa"/>
            <w:vAlign w:val="bottom"/>
          </w:tcPr>
          <w:p>
            <w:pPr>
              <w:spacing w:after="0"/>
              <w:rPr>
                <w:sz w:val="14"/>
                <w:szCs w:val="14"/>
                <w:color w:val="auto"/>
              </w:rPr>
            </w:pPr>
          </w:p>
        </w:tc>
      </w:tr>
      <w:tr>
        <w:trPr>
          <w:trHeight w:val="170"/>
        </w:trPr>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Year Ended</w:t>
            </w:r>
          </w:p>
        </w:tc>
        <w:tc>
          <w:tcPr>
            <w:tcW w:w="2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purchased</w:t>
            </w:r>
          </w:p>
        </w:tc>
        <w:tc>
          <w:tcPr>
            <w:tcW w:w="42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8"/>
              </w:rPr>
              <w:t>Purchase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May Yet be Purchased Under</w:t>
            </w:r>
          </w:p>
        </w:tc>
        <w:tc>
          <w:tcPr>
            <w:tcW w:w="2260" w:type="dxa"/>
            <w:vAlign w:val="bottom"/>
          </w:tcPr>
          <w:p>
            <w:pPr>
              <w:spacing w:after="0"/>
              <w:rPr>
                <w:sz w:val="14"/>
                <w:szCs w:val="14"/>
                <w:color w:val="auto"/>
              </w:rPr>
            </w:pPr>
          </w:p>
        </w:tc>
      </w:tr>
      <w:tr>
        <w:trPr>
          <w:trHeight w:val="184"/>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(000)</w:t>
            </w: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49"/>
              <w:spacing w:after="0"/>
              <w:rPr>
                <w:sz w:val="20"/>
                <w:szCs w:val="20"/>
                <w:color w:val="auto"/>
              </w:rPr>
            </w:pPr>
            <w:r>
              <w:rPr>
                <w:rFonts w:ascii="Times New Roman" w:cs="Times New Roman" w:eastAsia="Times New Roman" w:hAnsi="Times New Roman"/>
                <w:sz w:val="14"/>
                <w:szCs w:val="14"/>
                <w:color w:val="auto"/>
                <w:w w:val="98"/>
              </w:rPr>
              <w:t>value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Announced Plans or Programs</w:t>
            </w: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161"/>
        </w:trPr>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2024</w:t>
            </w:r>
          </w:p>
        </w:tc>
        <w:tc>
          <w:tcPr>
            <w:tcW w:w="2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223,019</w:t>
            </w:r>
          </w:p>
        </w:tc>
        <w:tc>
          <w:tcPr>
            <w:tcW w:w="2260" w:type="dxa"/>
            <w:vAlign w:val="bottom"/>
          </w:tcPr>
          <w:p>
            <w:pPr>
              <w:spacing w:after="0"/>
              <w:rPr>
                <w:sz w:val="13"/>
                <w:szCs w:val="13"/>
                <w:color w:val="auto"/>
              </w:rPr>
            </w:pPr>
          </w:p>
        </w:tc>
      </w:tr>
      <w:tr>
        <w:trPr>
          <w:trHeight w:val="184"/>
        </w:trPr>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2023</w:t>
            </w: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1,022</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19,083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223,019</w:t>
            </w:r>
          </w:p>
        </w:tc>
        <w:tc>
          <w:tcPr>
            <w:tcW w:w="2260" w:type="dxa"/>
            <w:vAlign w:val="bottom"/>
          </w:tcPr>
          <w:p>
            <w:pPr>
              <w:spacing w:after="0"/>
              <w:rPr>
                <w:sz w:val="16"/>
                <w:szCs w:val="16"/>
                <w:color w:val="auto"/>
              </w:rPr>
            </w:pPr>
          </w:p>
        </w:tc>
      </w:tr>
      <w:tr>
        <w:trPr>
          <w:trHeight w:val="325"/>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87"/>
        </w:trPr>
        <w:tc>
          <w:tcPr>
            <w:tcW w:w="2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314" w:right="31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EARNINGS PER SHARE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table below reconciles basic weighted average common shares outstanding to diluted weighted average shares outstanding for 2024, 2023, and 2022 (in thousands). Basic earnings per share is based on the weighted average number of common shares outstanding during the period. Diluted earnings per share also include the dilutive effect of additional potential common shares issuable from stock-based awards and are determined using the treasury stock method. Basic earnings per share represents net earnings divided by basic weighted average number of common shares outstanding during the period. Diluted earnings per share represents net earnings divided by diluted weighted average number of common shares outstanding, which includes the average dilutive effect of all potentially dilutive securities that are outstanding during the period. Our unvested restricted stock units and performance stock units are included in the number of shares outstanding for diluted earnings per share calculations, unless a net loss is reported, in which situation unvested stock awards are excluded from the number of shares outstanding for diluted earnings per share calculations. For 2024, 1,066,405 shares of unvested stock awards were excluded from the number of shares outstanding for the diluted earnings per share calculation because they were antidilutive.</w:t>
      </w:r>
    </w:p>
    <w:p>
      <w:pPr>
        <w:spacing w:after="0" w:line="14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r>
      <w:tr>
        <w:trPr>
          <w:trHeight w:val="161"/>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weighted average common shares outstanding</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34,427</w:t>
            </w:r>
          </w:p>
        </w:tc>
        <w:tc>
          <w:tcPr>
            <w:tcW w:w="10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34,721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35,073</w:t>
            </w: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Plus dilutive effect of Restricted Stock Units and Performance Stock Units</w:t>
            </w: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0" w:type="dxa"/>
            <w:vAlign w:val="bottom"/>
          </w:tcPr>
          <w:p>
            <w:pPr>
              <w:spacing w:after="0"/>
              <w:rPr>
                <w:sz w:val="14"/>
                <w:szCs w:val="1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421</w:t>
            </w: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weighted average common shares outstanding</w:t>
            </w:r>
          </w:p>
        </w:tc>
        <w:tc>
          <w:tcPr>
            <w:tcW w:w="10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34,427</w:t>
            </w:r>
          </w:p>
        </w:tc>
        <w:tc>
          <w:tcPr>
            <w:tcW w:w="1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34,861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35,494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BUSINESS SEGMENTS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identify our reportable segments based on our management structure and the financial data utilized by our chief operating decision maker, who is our President and Chief Executive Officer, to assess segment performance and allocate resources among our operating units. We have two reportable segments: Fleet Vehicles and Services and Specialty Vehicles.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chief operating decision maker evaluates the performance of our reportable segments based on Adjusted EBITDA (earnings before interest, taxes, depreciation and amortization), which is defined as income before interest, income taxes, depreciation and amortization, as adjusted to eliminate the impact of restructuring charges, transaction related expenses and adjustments, non-cash stock-based compensation expenses, and other gains and losses not reflective of our ongoing operations.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chief operating decision maker uses Adjusted EBITDA to evaluate financial performance of the segments and to allocate resources in the budget and forecasting process. This allocation principally includes operating budgets, capital expenditures, product development, strategical acquisitions, and management of other financial, capital and human resources. Adjusted EBITDA is also used in monitoring actual versus budget and forecast results in order to assess segment performance and evaluate segment management.</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FVS segment focuses on designing and manufacturing walk-in vans for parcel delivery, mobile retail, and trades and construction industries, the production of commercial truck bodies, and the distribution of related aftermarket parts and accessories.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SV segment consists of service bodies operations, operations that engineer and manufacture motorhome chassis, specialty upfit, other specialty chassis and distributes related aftermarket parts and assemblies. We also provide vocation-specific equipment upfit services, which are marketed and sold under the Strobes-R-Us brand.</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accounting policies of the segments are the same as those described, or referred to, in “Note 1 – </w:t>
      </w:r>
      <w:r>
        <w:rPr>
          <w:rFonts w:ascii="Times New Roman" w:cs="Times New Roman" w:eastAsia="Times New Roman" w:hAnsi="Times New Roman"/>
          <w:sz w:val="14"/>
          <w:szCs w:val="14"/>
          <w:i w:val="1"/>
          <w:iCs w:val="1"/>
          <w:color w:val="auto"/>
        </w:rPr>
        <w:t>Nature of Operations and Basis of Presentation</w:t>
      </w:r>
      <w:r>
        <w:rPr>
          <w:rFonts w:ascii="Times New Roman" w:cs="Times New Roman" w:eastAsia="Times New Roman" w:hAnsi="Times New Roman"/>
          <w:sz w:val="14"/>
          <w:szCs w:val="14"/>
          <w:color w:val="auto"/>
        </w:rPr>
        <w:t>”. Assets and related depreciation expense in the row labeled “Eliminations and Other” pertain to capital assets maintained at the corporate level. Eliminations and other” includes eliminations for inter-segment sales and insignificant sales outside of reportable segments. Segment loss from operations in the “Eliminations and other” column contains corporate related expenses not allocable to the operating segments. Interest expense and Taxes on income are not included in the information utilized by the chief operating decision makers to assess segment performance and allocate resources, and accordingly, are excluded from the segment results presented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Sales to customers outside the United States were $48,431, $24,706, and $7,670 for the years ended December 31, 2024, 2023, and 2022, or 6.2%, 2.8%, and 0.7%, respectively, of sales for those years. Substantially all of our long-lived assets are located in the United States.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Sales and other financial information by business segment are as follows:</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Segment</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FVS</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SV</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Fleet vehicles sales</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367,338</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367,338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Motorhome chassis sales</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75,895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75,895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specialty vehicles sales</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243,117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243,117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Aftermarket parts and accessories sales</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66,855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28,876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95,731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sales</w:t>
            </w: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434,193</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782,081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Eliminations and other</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4,095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consolidated sales</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786,176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0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29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Segment</w:t>
            </w:r>
          </w:p>
        </w:tc>
        <w:tc>
          <w:tcPr>
            <w:tcW w:w="5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60" w:type="dxa"/>
            <w:vAlign w:val="bottom"/>
            <w:tcBorders>
              <w:top w:val="single" w:sz="8" w:color="CCEEFF"/>
              <w:bottom w:val="single" w:sz="8" w:color="CCEEFF"/>
            </w:tcBorders>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Eliminations and</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FVS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SV</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Consolidated</w:t>
            </w:r>
          </w:p>
        </w:tc>
        <w:tc>
          <w:tcPr>
            <w:tcW w:w="4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7,157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20,252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Segment assets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201,544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274,377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92,827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568,748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66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reconciliation of the significant segment expenses to Adjusted EBITDA by business segment is as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Segment</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FVS</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4"/>
                <w:szCs w:val="14"/>
                <w:color w:val="auto"/>
              </w:rPr>
              <w:t>SV</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3"/>
                <w:szCs w:val="13"/>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434,193</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347,888</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products sold</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(374,014)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(245,662)</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(1,682)</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(1,545)</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(28,988)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(36,133)</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460" w:type="dxa"/>
            <w:vAlign w:val="bottom"/>
            <w:tcBorders>
              <w:bottom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Other segment items</w:t>
            </w:r>
            <w:r>
              <w:rPr>
                <w:rFonts w:ascii="Times New Roman" w:cs="Times New Roman" w:eastAsia="Times New Roman" w:hAnsi="Times New Roman"/>
                <w:sz w:val="19"/>
                <w:szCs w:val="19"/>
                <w:color w:val="auto"/>
                <w:vertAlign w:val="superscript"/>
              </w:rPr>
              <w:t>1</w:t>
            </w:r>
          </w:p>
        </w:tc>
        <w:tc>
          <w:tcPr>
            <w:tcW w:w="7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left w:val="single" w:sz="8" w:color="CCEEFF"/>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31,188</w:t>
            </w:r>
          </w:p>
        </w:tc>
        <w:tc>
          <w:tcPr>
            <w:tcW w:w="10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67,290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620" w:right="300"/>
        <w:spacing w:after="0" w:line="287" w:lineRule="auto"/>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4"/>
          <w:szCs w:val="14"/>
          <w:color w:val="auto"/>
        </w:rPr>
        <w:t>Other segment items include interest and other income, management fees, depreciation and amortization, restructuring and other related charges, non-cash stock-based compensation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expense and loss from write-off of assets.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73" w:name="page74"/>
    <w:bookmarkEnd w:id="73"/>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of total Segment Adjusted EBITDA to income (loss) before income taxes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0" w:type="dxa"/>
            <w:vAlign w:val="bottom"/>
            <w:vMerge w:val="restart"/>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vMerge w:val="continue"/>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98,478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Unallocated corporate expenses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(49,630)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(8,540)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(20,252)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(1,324)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Transaction related expenses and adjustments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(10,154)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(10,250)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from write-off of assets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legal matters</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CEO transition</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Gains from insurance settlement</w:t>
            </w:r>
          </w:p>
        </w:tc>
        <w:tc>
          <w:tcPr>
            <w:tcW w:w="13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left w:val="single" w:sz="8" w:color="CCEEFF"/>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CCEEFF"/>
            </w:tcBorders>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1,737</w:t>
            </w: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8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(2,229)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8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Segment</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FVS</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SV</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Fleet vehicles sales</w:t>
            </w:r>
          </w:p>
        </w:tc>
        <w:tc>
          <w:tcPr>
            <w:tcW w:w="13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487,072</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487,072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Motorhome chassis sales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2"/>
              </w:rPr>
              <w:t>104,882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104,882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specialty vehicles sales</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209,434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209,434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Aftermarket parts and accessories sales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54,566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20,427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74,993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sales</w:t>
            </w:r>
          </w:p>
        </w:tc>
        <w:tc>
          <w:tcPr>
            <w:tcW w:w="1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541,638</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334,743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876,381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Eliminations and other</w:t>
            </w: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(4,183)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consolidated sales</w:t>
            </w: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872,198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0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226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Segment</w:t>
            </w:r>
          </w:p>
        </w:tc>
        <w:tc>
          <w:tcPr>
            <w:tcW w:w="5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CCEEFF"/>
              <w:bottom w:val="single" w:sz="8" w:color="CCEEFF"/>
            </w:tcBorders>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Eliminations and</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Borders>
              <w:bottom w:val="single" w:sz="8" w:color="auto"/>
            </w:tcBorders>
            <w:gridSpan w:val="2"/>
          </w:tcPr>
          <w:p>
            <w:pPr>
              <w:jc w:val="right"/>
              <w:ind w:right="329"/>
              <w:spacing w:after="0"/>
              <w:rPr>
                <w:sz w:val="20"/>
                <w:szCs w:val="20"/>
                <w:color w:val="auto"/>
              </w:rPr>
            </w:pPr>
            <w:r>
              <w:rPr>
                <w:rFonts w:ascii="Times New Roman" w:cs="Times New Roman" w:eastAsia="Times New Roman" w:hAnsi="Times New Roman"/>
                <w:sz w:val="14"/>
                <w:szCs w:val="14"/>
                <w:color w:val="auto"/>
              </w:rPr>
              <w:t>FVS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SV</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Consolidated</w:t>
            </w:r>
          </w:p>
        </w:tc>
        <w:tc>
          <w:tcPr>
            <w:tcW w:w="4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6,552</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16,953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Segment assets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241,546</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213,509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74,994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530,049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5,065</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17,844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25,476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65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reconciliation of the significant segment expenses to Adjusted EBITDA by business segment is as follows: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Segment</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FVS</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20"/>
              <w:spacing w:after="0"/>
              <w:rPr>
                <w:sz w:val="20"/>
                <w:szCs w:val="20"/>
                <w:color w:val="auto"/>
              </w:rPr>
            </w:pPr>
            <w:r>
              <w:rPr>
                <w:rFonts w:ascii="Times New Roman" w:cs="Times New Roman" w:eastAsia="Times New Roman" w:hAnsi="Times New Roman"/>
                <w:sz w:val="14"/>
                <w:szCs w:val="14"/>
                <w:color w:val="auto"/>
              </w:rPr>
              <w:t>SV</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1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541,638</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334,743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products sold</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(482,899)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(241,429)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(1,737)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(24,729)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(30,304)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7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Other segment items</w:t>
            </w:r>
            <w:r>
              <w:rPr>
                <w:rFonts w:ascii="Times New Roman" w:cs="Times New Roman" w:eastAsia="Times New Roman" w:hAnsi="Times New Roman"/>
                <w:sz w:val="19"/>
                <w:szCs w:val="19"/>
                <w:color w:val="auto"/>
                <w:vertAlign w:val="superscript"/>
              </w:rPr>
              <w:t>1</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4,913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8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Adjusted EBITDA</w:t>
            </w:r>
          </w:p>
        </w:tc>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30,326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66,186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620" w:right="20"/>
        <w:spacing w:after="0" w:line="287" w:lineRule="auto"/>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4"/>
          <w:szCs w:val="14"/>
          <w:color w:val="auto"/>
        </w:rPr>
        <w:t>Other segment items include interest and other income, management fees, depreciation and amortization, restructuring and other related charges, non-cash stock-based compensation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expense and legacy legal related expenses.</w:t>
      </w:r>
    </w:p>
    <w:p>
      <w:pPr>
        <w:spacing w:after="0" w:line="1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00"/>
          </w:cols>
          <w:pgMar w:left="300" w:top="314" w:right="5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of total Segment Adjusted EBITDA to income before income taxes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0" w:type="dxa"/>
            <w:vAlign w:val="bottom"/>
            <w:vMerge w:val="restart"/>
          </w:tcPr>
          <w:p>
            <w:pPr>
              <w:spacing w:after="0"/>
              <w:rPr>
                <w:sz w:val="14"/>
                <w:szCs w:val="14"/>
                <w:color w:val="auto"/>
              </w:rPr>
            </w:pPr>
          </w:p>
        </w:tc>
        <w:tc>
          <w:tcPr>
            <w:tcW w:w="1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vMerge w:val="continue"/>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96,512</w:t>
            </w:r>
          </w:p>
        </w:tc>
        <w:tc>
          <w:tcPr>
            <w:tcW w:w="1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Unallocated corporate expenses</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(56,544)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(6,527)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(16,953)</w:t>
            </w:r>
          </w:p>
        </w:tc>
        <w:tc>
          <w:tcPr>
            <w:tcW w:w="1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(1,741)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related expenses and adjustments</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(440)</w:t>
            </w:r>
          </w:p>
        </w:tc>
        <w:tc>
          <w:tcPr>
            <w:tcW w:w="1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(7,834)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write-off of assets</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(1,872)</w:t>
            </w:r>
          </w:p>
        </w:tc>
        <w:tc>
          <w:tcPr>
            <w:tcW w:w="1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Legacy legal matters</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(956)</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Non-recurring professional fees</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(288)</w:t>
            </w:r>
          </w:p>
        </w:tc>
        <w:tc>
          <w:tcPr>
            <w:tcW w:w="1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CEO transition</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(2,629)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left w:val="single" w:sz="8" w:color="CCEEFF"/>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696</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4"/>
                <w:szCs w:val="14"/>
                <w:color w:val="auto"/>
              </w:rPr>
              <w:t>Segment</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FVS</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29"/>
              <w:spacing w:after="0"/>
              <w:rPr>
                <w:sz w:val="20"/>
                <w:szCs w:val="20"/>
                <w:color w:val="auto"/>
              </w:rPr>
            </w:pPr>
            <w:r>
              <w:rPr>
                <w:rFonts w:ascii="Times New Roman" w:cs="Times New Roman" w:eastAsia="Times New Roman" w:hAnsi="Times New Roman"/>
                <w:sz w:val="14"/>
                <w:szCs w:val="14"/>
                <w:color w:val="auto"/>
              </w:rPr>
              <w:t>SV</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gridSpan w:val="3"/>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Fleet vehicles sales</w:t>
            </w:r>
          </w:p>
        </w:tc>
        <w:tc>
          <w:tcPr>
            <w:tcW w:w="1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605,253</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605,253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Motorhome chassis sales</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175,030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175,030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specialty vehicles sales</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191,882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Aftermarket parts and accessories sales</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19,732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61,482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sales</w:t>
            </w:r>
          </w:p>
        </w:tc>
        <w:tc>
          <w:tcPr>
            <w:tcW w:w="1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647,003</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1,033,647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Eliminations and other</w:t>
            </w: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(6,483)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consolidated sales</w:t>
            </w:r>
          </w:p>
        </w:tc>
        <w:tc>
          <w:tcPr>
            <w:tcW w:w="1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1,027,164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0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color w:val="auto"/>
              </w:rPr>
              <w:t>Segment</w:t>
            </w:r>
          </w:p>
        </w:tc>
        <w:tc>
          <w:tcPr>
            <w:tcW w:w="5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60" w:type="dxa"/>
            <w:vAlign w:val="bottom"/>
            <w:tcBorders>
              <w:top w:val="single" w:sz="8" w:color="CCEEFF"/>
              <w:bottom w:val="single" w:sz="8" w:color="CCEEFF"/>
            </w:tcBorders>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Eliminations and</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Borders>
              <w:bottom w:val="single" w:sz="8" w:color="auto"/>
            </w:tcBorders>
            <w:gridSpan w:val="2"/>
          </w:tcPr>
          <w:p>
            <w:pPr>
              <w:jc w:val="right"/>
              <w:ind w:right="329"/>
              <w:spacing w:after="0"/>
              <w:rPr>
                <w:sz w:val="20"/>
                <w:szCs w:val="20"/>
                <w:color w:val="auto"/>
              </w:rPr>
            </w:pPr>
            <w:r>
              <w:rPr>
                <w:rFonts w:ascii="Times New Roman" w:cs="Times New Roman" w:eastAsia="Times New Roman" w:hAnsi="Times New Roman"/>
                <w:sz w:val="14"/>
                <w:szCs w:val="14"/>
                <w:color w:val="auto"/>
              </w:rPr>
              <w:t>FVS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SV</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Consolidated</w:t>
            </w:r>
          </w:p>
        </w:tc>
        <w:tc>
          <w:tcPr>
            <w:tcW w:w="40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4,555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14,774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Segment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308,357</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220,768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51,356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580,481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13,381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1,268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21,542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74</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14" w:right="319" w:bottom="1440" w:gutter="0" w:footer="0" w:header="0"/>
        </w:sectPr>
      </w:pPr>
    </w:p>
    <w:bookmarkStart w:id="75" w:name="page76"/>
    <w:bookmarkEnd w:id="75"/>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THE SHYFT GROUP, INC.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reconciliation of the significant segment expenses to Adjusted EBITDA by business segment is as follows:</w:t>
            </w: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40"/>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Segment</w:t>
            </w:r>
          </w:p>
        </w:tc>
        <w:tc>
          <w:tcPr>
            <w:tcW w:w="13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3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FVS</w:t>
            </w: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SV</w:t>
            </w:r>
          </w:p>
        </w:tc>
        <w:tc>
          <w:tcPr>
            <w:tcW w:w="160" w:type="dxa"/>
            <w:vAlign w:val="bottom"/>
          </w:tcPr>
          <w:p>
            <w:pPr>
              <w:spacing w:after="0"/>
              <w:rPr>
                <w:sz w:val="14"/>
                <w:szCs w:val="14"/>
                <w:color w:val="auto"/>
              </w:rPr>
            </w:pPr>
          </w:p>
        </w:tc>
      </w:tr>
      <w:tr>
        <w:trPr>
          <w:trHeight w:val="161"/>
        </w:trPr>
        <w:tc>
          <w:tcPr>
            <w:tcW w:w="30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1240" w:type="dxa"/>
            <w:vAlign w:val="bottom"/>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647,003</w:t>
            </w:r>
          </w:p>
        </w:tc>
        <w:tc>
          <w:tcPr>
            <w:tcW w:w="7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386,644</w:t>
            </w:r>
          </w:p>
        </w:tc>
        <w:tc>
          <w:tcPr>
            <w:tcW w:w="160" w:type="dxa"/>
            <w:vAlign w:val="bottom"/>
            <w:shd w:val="clear" w:color="auto" w:fill="CCEEFF"/>
          </w:tcPr>
          <w:p>
            <w:pPr>
              <w:spacing w:after="0"/>
              <w:rPr>
                <w:sz w:val="13"/>
                <w:szCs w:val="13"/>
                <w:color w:val="auto"/>
              </w:rPr>
            </w:pPr>
          </w:p>
        </w:tc>
      </w:tr>
      <w:tr>
        <w:trPr>
          <w:trHeight w:val="170"/>
        </w:trPr>
        <w:tc>
          <w:tcPr>
            <w:tcW w:w="30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Cost of products sold</w:t>
            </w:r>
          </w:p>
        </w:tc>
        <w:tc>
          <w:tcPr>
            <w:tcW w:w="1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(550,076)</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(303,138)</w:t>
            </w:r>
          </w:p>
        </w:tc>
        <w:tc>
          <w:tcPr>
            <w:tcW w:w="1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4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(1,596)</w:t>
            </w:r>
          </w:p>
        </w:tc>
        <w:tc>
          <w:tcPr>
            <w:tcW w:w="160" w:type="dxa"/>
            <w:vAlign w:val="bottom"/>
            <w:shd w:val="clear" w:color="auto" w:fill="CCEEFF"/>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(22,810)</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(31,040)</w:t>
            </w:r>
          </w:p>
        </w:tc>
        <w:tc>
          <w:tcPr>
            <w:tcW w:w="1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65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Other segment items</w:t>
            </w:r>
            <w:r>
              <w:rPr>
                <w:rFonts w:ascii="Times New Roman" w:cs="Times New Roman" w:eastAsia="Times New Roman" w:hAnsi="Times New Roman"/>
                <w:sz w:val="19"/>
                <w:szCs w:val="19"/>
                <w:color w:val="auto"/>
                <w:vertAlign w:val="superscript"/>
              </w:rPr>
              <w:t>1</w:t>
            </w:r>
          </w:p>
        </w:tc>
        <w:tc>
          <w:tcPr>
            <w:tcW w:w="124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3,544</w:t>
            </w:r>
          </w:p>
        </w:tc>
        <w:tc>
          <w:tcPr>
            <w:tcW w:w="160" w:type="dxa"/>
            <w:vAlign w:val="bottom"/>
            <w:shd w:val="clear" w:color="auto" w:fill="CCEEFF"/>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61"/>
        </w:trPr>
        <w:tc>
          <w:tcPr>
            <w:tcW w:w="68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Adjusted EBITDA</w:t>
            </w:r>
          </w:p>
        </w:tc>
        <w:tc>
          <w:tcPr>
            <w:tcW w:w="1240" w:type="dxa"/>
            <w:vAlign w:val="bottom"/>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65,719</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54,413</w:t>
            </w:r>
          </w:p>
        </w:tc>
        <w:tc>
          <w:tcPr>
            <w:tcW w:w="160" w:type="dxa"/>
            <w:vAlign w:val="bottom"/>
          </w:tcPr>
          <w:p>
            <w:pPr>
              <w:spacing w:after="0"/>
              <w:rPr>
                <w:sz w:val="13"/>
                <w:szCs w:val="13"/>
                <w:color w:val="auto"/>
              </w:rPr>
            </w:pPr>
          </w:p>
        </w:tc>
      </w:tr>
      <w:tr>
        <w:trPr>
          <w:trHeight w:val="20"/>
        </w:trPr>
        <w:tc>
          <w:tcPr>
            <w:tcW w:w="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5"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4"/>
          <w:szCs w:val="14"/>
          <w:color w:val="auto"/>
        </w:rPr>
        <w:t>Other segment items include interest and other income, management fees, depreciation and amortization, restructuring and other related charges and non-cash stock-based compensation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expense.</w:t>
      </w:r>
    </w:p>
    <w:p>
      <w:pPr>
        <w:sectPr>
          <w:pgSz w:w="11900" w:h="16838" w:orient="portrait"/>
          <w:cols w:equalWidth="0" w:num="1">
            <w:col w:w="11180"/>
          </w:cols>
          <w:pgMar w:left="300" w:top="314" w:right="419" w:bottom="144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of total Segment Adjusted EBITDA to income before income taxes as follows: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Year Ended December 31, 2022</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Total 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6797675" cy="107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797675" cy="10795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Unallocated corporate expenses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-101600</wp:posOffset>
            </wp:positionV>
            <wp:extent cx="6797675" cy="1079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797675" cy="10795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Restructuring and other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-101600</wp:posOffset>
            </wp:positionV>
            <wp:extent cx="6797675" cy="107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797675" cy="10795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4"/>
          <w:szCs w:val="14"/>
          <w:color w:val="auto"/>
        </w:rPr>
        <w:t>Transaction related expenses and adjustments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Non-cash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-101600</wp:posOffset>
            </wp:positionV>
            <wp:extent cx="6797675" cy="1149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797675" cy="114935"/>
                    </a:xfrm>
                    <a:prstGeom prst="rect">
                      <a:avLst/>
                    </a:prstGeom>
                    <a:noFill/>
                  </pic:spPr>
                </pic:pic>
              </a:graphicData>
            </a:graphic>
          </wp:anchor>
        </w:drawing>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69" w:hanging="1169"/>
        <w:spacing w:after="0"/>
        <w:tabs>
          <w:tab w:leader="none" w:pos="116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120,132</w:t>
      </w:r>
    </w:p>
    <w:p>
      <w:pPr>
        <w:spacing w:after="0" w:line="23" w:lineRule="exact"/>
        <w:rPr>
          <w:rFonts w:ascii="Times New Roman" w:cs="Times New Roman" w:eastAsia="Times New Roman" w:hAnsi="Times New Roman"/>
          <w:sz w:val="14"/>
          <w:szCs w:val="14"/>
          <w:color w:val="auto"/>
        </w:rPr>
      </w:pPr>
    </w:p>
    <w:p>
      <w:pPr>
        <w:ind w:left="11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(49,339)</w:t>
      </w:r>
    </w:p>
    <w:p>
      <w:pPr>
        <w:spacing w:after="0" w:line="8" w:lineRule="exact"/>
        <w:rPr>
          <w:rFonts w:ascii="Times New Roman" w:cs="Times New Roman" w:eastAsia="Times New Roman" w:hAnsi="Times New Roman"/>
          <w:sz w:val="14"/>
          <w:szCs w:val="14"/>
          <w:color w:val="auto"/>
        </w:rPr>
      </w:pPr>
    </w:p>
    <w:p>
      <w:pPr>
        <w:ind w:left="126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(2,833)</w:t>
      </w:r>
    </w:p>
    <w:p>
      <w:pPr>
        <w:spacing w:after="0" w:line="20" w:lineRule="exact"/>
        <w:rPr>
          <w:rFonts w:ascii="Times New Roman" w:cs="Times New Roman" w:eastAsia="Times New Roman" w:hAnsi="Times New Roman"/>
          <w:sz w:val="14"/>
          <w:szCs w:val="14"/>
          <w:color w:val="auto"/>
        </w:rPr>
      </w:pPr>
    </w:p>
    <w:p>
      <w:pPr>
        <w:ind w:left="11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(14,774)</w:t>
      </w:r>
    </w:p>
    <w:p>
      <w:pPr>
        <w:spacing w:after="0" w:line="8" w:lineRule="exact"/>
        <w:rPr>
          <w:rFonts w:ascii="Times New Roman" w:cs="Times New Roman" w:eastAsia="Times New Roman" w:hAnsi="Times New Roman"/>
          <w:sz w:val="14"/>
          <w:szCs w:val="14"/>
          <w:color w:val="auto"/>
        </w:rPr>
      </w:pPr>
    </w:p>
    <w:p>
      <w:pPr>
        <w:ind w:left="136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(757)</w:t>
      </w:r>
    </w:p>
    <w:p>
      <w:pPr>
        <w:spacing w:after="0" w:line="20" w:lineRule="exact"/>
        <w:rPr>
          <w:rFonts w:ascii="Times New Roman" w:cs="Times New Roman" w:eastAsia="Times New Roman" w:hAnsi="Times New Roman"/>
          <w:sz w:val="14"/>
          <w:szCs w:val="14"/>
          <w:color w:val="auto"/>
        </w:rPr>
      </w:pPr>
    </w:p>
    <w:p>
      <w:pPr>
        <w:ind w:left="136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(884)</w:t>
      </w:r>
    </w:p>
    <w:p>
      <w:pPr>
        <w:spacing w:after="0" w:line="20" w:lineRule="exact"/>
        <w:rPr>
          <w:rFonts w:ascii="Times New Roman" w:cs="Times New Roman" w:eastAsia="Times New Roman" w:hAnsi="Times New Roman"/>
          <w:sz w:val="14"/>
          <w:szCs w:val="14"/>
          <w:color w:val="auto"/>
        </w:rPr>
      </w:pPr>
    </w:p>
    <w:p>
      <w:pPr>
        <w:ind w:left="126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(7,619)</w:t>
      </w:r>
    </w:p>
    <w:p>
      <w:pPr>
        <w:spacing w:after="0" w:line="20" w:lineRule="exact"/>
        <w:rPr>
          <w:sz w:val="20"/>
          <w:szCs w:val="20"/>
          <w:color w:val="auto"/>
        </w:rPr>
      </w:pPr>
    </w:p>
    <w:p>
      <w:pPr>
        <w:ind w:left="1249" w:hanging="1249"/>
        <w:spacing w:after="0"/>
        <w:tabs>
          <w:tab w:leader="none" w:pos="124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12700</wp:posOffset>
            </wp:positionV>
            <wp:extent cx="120015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00150" cy="698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26035</wp:posOffset>
            </wp:positionV>
            <wp:extent cx="120015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00150" cy="6985"/>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8411" w:space="720"/>
            <w:col w:w="2049"/>
          </w:cols>
          <w:pgMar w:left="300" w:top="314" w:right="419" w:bottom="1440" w:gutter="0" w:footer="0" w:header="0"/>
          <w:type w:val="continuous"/>
        </w:sectPr>
      </w:pPr>
    </w:p>
    <w:p>
      <w:pPr>
        <w:spacing w:after="0" w:line="1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80"/>
          </w:cols>
          <w:pgMar w:left="300" w:top="314" w:right="419" w:bottom="1440" w:gutter="0" w:footer="0" w:header="0"/>
          <w:type w:val="continuous"/>
        </w:sectPr>
      </w:pPr>
    </w:p>
    <w:bookmarkStart w:id="76" w:name="page77"/>
    <w:bookmarkEnd w:id="76"/>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9.</w:t>
      </w:r>
      <w:r>
        <w:rPr>
          <w:sz w:val="20"/>
          <w:szCs w:val="20"/>
          <w:color w:val="auto"/>
        </w:rPr>
        <w:tab/>
      </w:r>
      <w:r>
        <w:rPr>
          <w:rFonts w:ascii="Times New Roman" w:cs="Times New Roman" w:eastAsia="Times New Roman" w:hAnsi="Times New Roman"/>
          <w:sz w:val="14"/>
          <w:szCs w:val="14"/>
          <w:u w:val="single" w:color="auto"/>
          <w:color w:val="auto"/>
        </w:rPr>
        <w:t>Changes in and Disagreements with Accountants on Accounting and Financial Disclosure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9A.</w:t>
      </w:r>
      <w:r>
        <w:rPr>
          <w:sz w:val="20"/>
          <w:szCs w:val="20"/>
          <w:color w:val="auto"/>
        </w:rPr>
        <w:tab/>
      </w:r>
      <w:r>
        <w:rPr>
          <w:rFonts w:ascii="Times New Roman" w:cs="Times New Roman" w:eastAsia="Times New Roman" w:hAnsi="Times New Roman"/>
          <w:sz w:val="14"/>
          <w:szCs w:val="14"/>
          <w:u w:val="single" w:color="auto"/>
          <w:color w:val="auto"/>
        </w:rPr>
        <w:t>Controls and Procedures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Evaluation of Disclosure Controls and Procedures</w:t>
      </w:r>
    </w:p>
    <w:p>
      <w:pPr>
        <w:spacing w:after="0" w:line="1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Annual Report. Based on the evaluation of our disclosure controls and procedures as of December 31, 2024, our Chief Executive Officer and Chief Financial Officer concluded that our disclosure controls and procedures were effective.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Report on Internal Control Over Financial Reporting</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Under the supervision of and with the participation of management, including the Chief Executive Officer and the Chief Financial Officer, the Company conducted an evaluation of the effectiveness of internal control over financial reporting based on the framework in Internal Control—Integrated Framework (2013) issued by the Committee of Sponsoring Organizations of the Treadway Commission (COSO). Based on this evaluation, management concluded that the Company's internal control over financial reporting was effective as of December 31, 2024.</w:t>
      </w:r>
    </w:p>
    <w:p>
      <w:pPr>
        <w:spacing w:after="0" w:line="13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excluded Independent Truck Upfitters ("ITU") from our assessment of internal control over financial reporting as of December 31, 2024, because it was acquired by the Company in a business combination during 2024.</w:t>
      </w:r>
    </w:p>
    <w:p>
      <w:pPr>
        <w:spacing w:after="0" w:line="12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Deloitte &amp; Touche LLP, an independent registered public accounting firm, has audited the effectiveness of the Company’s internal control over financial reporting as of December 31, 2024, as stated in their report which is included 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changes during the Corporation’s last fiscal quarter that materially affected, or are likely to materially affect, the Corporation’s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16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9B.</w:t>
      </w:r>
      <w:r>
        <w:rPr>
          <w:sz w:val="20"/>
          <w:szCs w:val="20"/>
          <w:color w:val="auto"/>
        </w:rPr>
        <w:tab/>
      </w:r>
      <w:r>
        <w:rPr>
          <w:rFonts w:ascii="Times New Roman" w:cs="Times New Roman" w:eastAsia="Times New Roman" w:hAnsi="Times New Roman"/>
          <w:sz w:val="14"/>
          <w:szCs w:val="14"/>
          <w:u w:val="single" w:color="auto"/>
          <w:color w:val="auto"/>
        </w:rPr>
        <w:t>Other Information</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Arrangements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2024, no director or officer (as defined in Rule 16a-1(f) under the Exchange Act) of the Company adopted, modified or terminated a “Rule 10b5-1 trading arrangement” or “non-Rule 10b5-1 trading arrangement” (as each term is defined in Item 408 of Regulation S-K).</w:t>
      </w:r>
    </w:p>
    <w:p>
      <w:pPr>
        <w:spacing w:after="0" w:line="14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9C.</w:t>
      </w:r>
      <w:r>
        <w:rPr>
          <w:sz w:val="20"/>
          <w:szCs w:val="20"/>
          <w:color w:val="auto"/>
        </w:rPr>
        <w:tab/>
      </w:r>
      <w:r>
        <w:rPr>
          <w:rFonts w:ascii="Times New Roman" w:cs="Times New Roman" w:eastAsia="Times New Roman" w:hAnsi="Times New Roman"/>
          <w:sz w:val="14"/>
          <w:szCs w:val="14"/>
          <w:u w:val="single" w:color="auto"/>
          <w:color w:val="auto"/>
        </w:rPr>
        <w:t>Disclosure Regarding Foreign Jurisdictions that Prevent Inspections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color w:val="auto"/>
        </w:rPr>
        <w:t>PART III</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10.</w:t>
      </w:r>
      <w:r>
        <w:rPr>
          <w:sz w:val="20"/>
          <w:szCs w:val="20"/>
          <w:color w:val="auto"/>
        </w:rPr>
        <w:tab/>
      </w:r>
      <w:r>
        <w:rPr>
          <w:rFonts w:ascii="Times New Roman" w:cs="Times New Roman" w:eastAsia="Times New Roman" w:hAnsi="Times New Roman"/>
          <w:sz w:val="14"/>
          <w:szCs w:val="14"/>
          <w:u w:val="single" w:color="auto"/>
          <w:color w:val="auto"/>
        </w:rPr>
        <w:t>Directors, Executive Officers, and Corporate Governance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our executive officers is included in Part I of this Form 10-K under the heading “Information about our Executive Officers.”</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The Code of Ethics is available on the “Corporate Responsibility” portion of the Company's website under the “Policies and Charters” link. The Company's website address is </w:t>
      </w:r>
      <w:r>
        <w:rPr>
          <w:rFonts w:ascii="Times New Roman" w:cs="Times New Roman" w:eastAsia="Times New Roman" w:hAnsi="Times New Roman"/>
          <w:sz w:val="14"/>
          <w:szCs w:val="14"/>
          <w:u w:val="single" w:color="auto"/>
          <w:color w:val="auto"/>
        </w:rPr>
        <w:t>www.theshyftgroup.com</w:t>
      </w:r>
      <w:r>
        <w:rPr>
          <w:rFonts w:ascii="Times New Roman" w:cs="Times New Roman" w:eastAsia="Times New Roman" w:hAnsi="Times New Roman"/>
          <w:sz w:val="14"/>
          <w:szCs w:val="14"/>
          <w:color w:val="auto"/>
        </w:rPr>
        <w:t>.</w:t>
      </w:r>
    </w:p>
    <w:p>
      <w:pPr>
        <w:spacing w:after="0" w:line="3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adopted insider trading policies and procedures applicable to our directors, officers, and employees, and have implemented processes for the Company, that we believe are reasonably designed to promote compliance with insider trading laws, rules, and regulations, and the applicable stock exchange listing standards. A copy of our Insider Trading Policy is filed as Exhibit 19 to this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(other than as set forth above) is incorporated by reference from our definitive proxy statement for the 2025 Annual Meeting of Shareholders.</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11.</w:t>
      </w:r>
      <w:r>
        <w:rPr>
          <w:sz w:val="20"/>
          <w:szCs w:val="20"/>
          <w:color w:val="auto"/>
        </w:rPr>
        <w:tab/>
      </w:r>
      <w:r>
        <w:rPr>
          <w:rFonts w:ascii="Times New Roman" w:cs="Times New Roman" w:eastAsia="Times New Roman" w:hAnsi="Times New Roman"/>
          <w:sz w:val="14"/>
          <w:szCs w:val="14"/>
          <w:u w:val="single" w:color="auto"/>
          <w:color w:val="auto"/>
        </w:rPr>
        <w:t>Executive Compensation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is incorporated by reference from our definitive proxy statement for the 2025 Annual Meeting of Shareholders.</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12.</w:t>
      </w:r>
      <w:r>
        <w:rPr>
          <w:sz w:val="20"/>
          <w:szCs w:val="20"/>
          <w:color w:val="auto"/>
        </w:rPr>
        <w:tab/>
      </w:r>
      <w:r>
        <w:rPr>
          <w:rFonts w:ascii="Times New Roman" w:cs="Times New Roman" w:eastAsia="Times New Roman" w:hAnsi="Times New Roman"/>
          <w:sz w:val="14"/>
          <w:szCs w:val="14"/>
          <w:u w:val="single" w:color="auto"/>
          <w:color w:val="auto"/>
        </w:rPr>
        <w:t>Security Ownership of Certain Beneficial Owners and Management and Related Stockholder Matters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(other than as set forth below) is incorporated by reference from our definitive proxy statement for the 2025 Annual Meeting of Shareholders.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provides information about our equity compensation plans regarding the number of securities to be issued under these plans upon the exercise of outstanding options, warrants and rights, the weighted-average exercise prices of options outstanding under these plans, and the number of securities available for future issuance as of December 31, 2024.</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Equity Compensation Plan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0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color w:val="auto"/>
                <w:w w:val="98"/>
              </w:rPr>
              <w:t>Number of</w:t>
            </w:r>
          </w:p>
        </w:tc>
        <w:tc>
          <w:tcPr>
            <w:tcW w:w="208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25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securities to</w:t>
            </w:r>
          </w:p>
        </w:tc>
        <w:tc>
          <w:tcPr>
            <w:tcW w:w="2080" w:type="dxa"/>
            <w:vAlign w:val="bottom"/>
          </w:tcPr>
          <w:p>
            <w:pPr>
              <w:spacing w:after="0"/>
              <w:rPr>
                <w:sz w:val="14"/>
                <w:szCs w:val="14"/>
                <w:color w:val="auto"/>
              </w:rPr>
            </w:pP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25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be issued upon</w:t>
            </w:r>
          </w:p>
        </w:tc>
        <w:tc>
          <w:tcPr>
            <w:tcW w:w="2080" w:type="dxa"/>
            <w:vAlign w:val="bottom"/>
          </w:tcPr>
          <w:p>
            <w:pPr>
              <w:spacing w:after="0"/>
              <w:rPr>
                <w:sz w:val="14"/>
                <w:szCs w:val="14"/>
                <w:color w:val="auto"/>
              </w:rPr>
            </w:pP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remaining available for</w:t>
            </w:r>
          </w:p>
        </w:tc>
        <w:tc>
          <w:tcPr>
            <w:tcW w:w="0" w:type="dxa"/>
            <w:vAlign w:val="bottom"/>
          </w:tcPr>
          <w:p>
            <w:pPr>
              <w:spacing w:after="0"/>
              <w:rPr>
                <w:sz w:val="1"/>
                <w:szCs w:val="1"/>
                <w:color w:val="auto"/>
              </w:rPr>
            </w:pPr>
          </w:p>
        </w:tc>
      </w:tr>
      <w:tr>
        <w:trPr>
          <w:trHeight w:val="170"/>
        </w:trPr>
        <w:tc>
          <w:tcPr>
            <w:tcW w:w="46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color w:val="auto"/>
              </w:rPr>
              <w:t>Plan category</w:t>
            </w:r>
          </w:p>
        </w:tc>
        <w:tc>
          <w:tcPr>
            <w:tcW w:w="25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exercise</w:t>
            </w:r>
          </w:p>
        </w:tc>
        <w:tc>
          <w:tcPr>
            <w:tcW w:w="2080" w:type="dxa"/>
            <w:vAlign w:val="bottom"/>
          </w:tcPr>
          <w:p>
            <w:pPr>
              <w:spacing w:after="0"/>
              <w:rPr>
                <w:sz w:val="14"/>
                <w:szCs w:val="14"/>
                <w:color w:val="auto"/>
              </w:rPr>
            </w:pP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future issuance under</w:t>
            </w:r>
          </w:p>
        </w:tc>
        <w:tc>
          <w:tcPr>
            <w:tcW w:w="0" w:type="dxa"/>
            <w:vAlign w:val="bottom"/>
          </w:tcPr>
          <w:p>
            <w:pPr>
              <w:spacing w:after="0"/>
              <w:rPr>
                <w:sz w:val="1"/>
                <w:szCs w:val="1"/>
                <w:color w:val="auto"/>
              </w:rPr>
            </w:pPr>
          </w:p>
        </w:tc>
      </w:tr>
      <w:tr>
        <w:trPr>
          <w:trHeight w:val="99"/>
        </w:trPr>
        <w:tc>
          <w:tcPr>
            <w:tcW w:w="4600" w:type="dxa"/>
            <w:vAlign w:val="bottom"/>
            <w:vMerge w:val="continue"/>
          </w:tcPr>
          <w:p>
            <w:pPr>
              <w:spacing w:after="0"/>
              <w:rPr>
                <w:sz w:val="8"/>
                <w:szCs w:val="8"/>
                <w:color w:val="auto"/>
              </w:rPr>
            </w:pPr>
          </w:p>
        </w:tc>
        <w:tc>
          <w:tcPr>
            <w:tcW w:w="258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color w:val="auto"/>
                <w:w w:val="99"/>
              </w:rPr>
              <w:t>of outstanding</w:t>
            </w:r>
          </w:p>
        </w:tc>
        <w:tc>
          <w:tcPr>
            <w:tcW w:w="2080" w:type="dxa"/>
            <w:vAlign w:val="bottom"/>
            <w:vMerge w:val="restart"/>
          </w:tcPr>
          <w:p>
            <w:pPr>
              <w:jc w:val="center"/>
              <w:ind w:right="269"/>
              <w:spacing w:after="0"/>
              <w:rPr>
                <w:sz w:val="20"/>
                <w:szCs w:val="20"/>
                <w:color w:val="auto"/>
              </w:rPr>
            </w:pPr>
            <w:r>
              <w:rPr>
                <w:rFonts w:ascii="Times New Roman" w:cs="Times New Roman" w:eastAsia="Times New Roman" w:hAnsi="Times New Roman"/>
                <w:sz w:val="14"/>
                <w:szCs w:val="14"/>
                <w:color w:val="auto"/>
              </w:rPr>
              <w:t>Weighted average</w:t>
            </w:r>
          </w:p>
        </w:tc>
        <w:tc>
          <w:tcPr>
            <w:tcW w:w="2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w w:val="99"/>
              </w:rPr>
              <w:t>equity compensation</w:t>
            </w:r>
          </w:p>
        </w:tc>
        <w:tc>
          <w:tcPr>
            <w:tcW w:w="0" w:type="dxa"/>
            <w:vAlign w:val="bottom"/>
          </w:tcPr>
          <w:p>
            <w:pPr>
              <w:spacing w:after="0"/>
              <w:rPr>
                <w:sz w:val="1"/>
                <w:szCs w:val="1"/>
                <w:color w:val="auto"/>
              </w:rPr>
            </w:pPr>
          </w:p>
        </w:tc>
      </w:tr>
      <w:tr>
        <w:trPr>
          <w:trHeight w:val="71"/>
        </w:trPr>
        <w:tc>
          <w:tcPr>
            <w:tcW w:w="4600" w:type="dxa"/>
            <w:vAlign w:val="bottom"/>
          </w:tcPr>
          <w:p>
            <w:pPr>
              <w:spacing w:after="0"/>
              <w:rPr>
                <w:sz w:val="6"/>
                <w:szCs w:val="6"/>
                <w:color w:val="auto"/>
              </w:rPr>
            </w:pPr>
          </w:p>
        </w:tc>
        <w:tc>
          <w:tcPr>
            <w:tcW w:w="258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25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8"/>
              </w:rPr>
              <w:t>options,</w:t>
            </w:r>
          </w:p>
        </w:tc>
        <w:tc>
          <w:tcPr>
            <w:tcW w:w="20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exercise price of</w:t>
            </w: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plans (excluding</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25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warrants and</w:t>
            </w:r>
          </w:p>
        </w:tc>
        <w:tc>
          <w:tcPr>
            <w:tcW w:w="20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outstanding options,</w:t>
            </w: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securities reflected in</w:t>
            </w:r>
          </w:p>
        </w:tc>
        <w:tc>
          <w:tcPr>
            <w:tcW w:w="0" w:type="dxa"/>
            <w:vAlign w:val="bottom"/>
          </w:tcPr>
          <w:p>
            <w:pPr>
              <w:spacing w:after="0"/>
              <w:rPr>
                <w:sz w:val="1"/>
                <w:szCs w:val="1"/>
                <w:color w:val="auto"/>
              </w:rPr>
            </w:pPr>
          </w:p>
        </w:tc>
      </w:tr>
      <w:tr>
        <w:trPr>
          <w:trHeight w:val="185"/>
        </w:trPr>
        <w:tc>
          <w:tcPr>
            <w:tcW w:w="46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color w:val="auto"/>
              </w:rPr>
              <w:t>rights (a)</w:t>
            </w:r>
          </w:p>
        </w:tc>
        <w:tc>
          <w:tcPr>
            <w:tcW w:w="208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color w:val="auto"/>
              </w:rPr>
              <w:t>warrants and rights</w:t>
            </w:r>
          </w:p>
        </w:tc>
        <w:tc>
          <w:tcPr>
            <w:tcW w:w="2020" w:type="dxa"/>
            <w:vAlign w:val="bottom"/>
            <w:tcBorders>
              <w:bottom w:val="single" w:sz="8" w:color="auto"/>
            </w:tcBorders>
          </w:tcPr>
          <w:p>
            <w:pPr>
              <w:jc w:val="center"/>
              <w:ind w:right="30"/>
              <w:spacing w:after="0" w:line="185" w:lineRule="exact"/>
              <w:rPr>
                <w:sz w:val="20"/>
                <w:szCs w:val="20"/>
                <w:color w:val="auto"/>
              </w:rPr>
            </w:pPr>
            <w:r>
              <w:rPr>
                <w:rFonts w:ascii="Times New Roman" w:cs="Times New Roman" w:eastAsia="Times New Roman" w:hAnsi="Times New Roman"/>
                <w:sz w:val="13"/>
                <w:szCs w:val="13"/>
                <w:color w:val="auto"/>
              </w:rPr>
              <w:t xml:space="preserve">column (a)) </w:t>
            </w:r>
            <w:r>
              <w:rPr>
                <w:rFonts w:ascii="Times New Roman" w:cs="Times New Roman" w:eastAsia="Times New Roman" w:hAnsi="Times New Roman"/>
                <w:sz w:val="21"/>
                <w:szCs w:val="21"/>
                <w:color w:val="auto"/>
                <w:vertAlign w:val="superscript"/>
              </w:rPr>
              <w:t>(4)</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2"/>
                <w:szCs w:val="12"/>
                <w:color w:val="auto"/>
              </w:rPr>
              <w:t xml:space="preserve">Equity compensation plans approved by security holders </w:t>
            </w:r>
            <w:r>
              <w:rPr>
                <w:rFonts w:ascii="Times New Roman" w:cs="Times New Roman" w:eastAsia="Times New Roman" w:hAnsi="Times New Roman"/>
                <w:sz w:val="19"/>
                <w:szCs w:val="19"/>
                <w:color w:val="auto"/>
                <w:vertAlign w:val="superscript"/>
              </w:rPr>
              <w:t>(1)</w:t>
            </w:r>
          </w:p>
        </w:tc>
        <w:tc>
          <w:tcPr>
            <w:tcW w:w="25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1,066,405</w:t>
            </w:r>
          </w:p>
        </w:tc>
        <w:tc>
          <w:tcPr>
            <w:tcW w:w="20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 xml:space="preserve">N/A </w:t>
            </w:r>
            <w:r>
              <w:rPr>
                <w:rFonts w:ascii="Times New Roman" w:cs="Times New Roman" w:eastAsia="Times New Roman" w:hAnsi="Times New Roman"/>
                <w:sz w:val="11"/>
                <w:szCs w:val="11"/>
                <w:color w:val="auto"/>
              </w:rPr>
              <w:t>(3)</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394,778</w:t>
            </w:r>
          </w:p>
        </w:tc>
        <w:tc>
          <w:tcPr>
            <w:tcW w:w="0" w:type="dxa"/>
            <w:vAlign w:val="bottom"/>
          </w:tcPr>
          <w:p>
            <w:pPr>
              <w:spacing w:after="0"/>
              <w:rPr>
                <w:sz w:val="1"/>
                <w:szCs w:val="1"/>
                <w:color w:val="auto"/>
              </w:rPr>
            </w:pPr>
          </w:p>
        </w:tc>
      </w:tr>
      <w:tr>
        <w:trPr>
          <w:trHeight w:val="181"/>
        </w:trPr>
        <w:tc>
          <w:tcPr>
            <w:tcW w:w="460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3"/>
                <w:szCs w:val="13"/>
                <w:color w:val="auto"/>
              </w:rPr>
              <w:t xml:space="preserve">Equity compensation plans not approved by security holders </w:t>
            </w:r>
            <w:r>
              <w:rPr>
                <w:rFonts w:ascii="Times New Roman" w:cs="Times New Roman" w:eastAsia="Times New Roman" w:hAnsi="Times New Roman"/>
                <w:sz w:val="20"/>
                <w:szCs w:val="20"/>
                <w:color w:val="auto"/>
                <w:vertAlign w:val="superscript"/>
              </w:rPr>
              <w:t>(2)</w:t>
            </w:r>
          </w:p>
        </w:tc>
        <w:tc>
          <w:tcPr>
            <w:tcW w:w="25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N/A</w:t>
            </w:r>
          </w:p>
        </w:tc>
        <w:tc>
          <w:tcPr>
            <w:tcW w:w="2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46,356</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5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1,066,405</w:t>
            </w:r>
          </w:p>
        </w:tc>
        <w:tc>
          <w:tcPr>
            <w:tcW w:w="20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N/A</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441,134</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 xml:space="preserve">Consists of the Stock Incentive Plan of 2016 (as amended and restated, the “Stock Incentive Plan”). See “Note 13 –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for more information regarding this plan.</w:t>
      </w:r>
    </w:p>
    <w:p>
      <w:pPr>
        <w:spacing w:after="0" w:line="155" w:lineRule="exact"/>
        <w:rPr>
          <w:rFonts w:ascii="Times New Roman" w:cs="Times New Roman" w:eastAsia="Times New Roman" w:hAnsi="Times New Roman"/>
          <w:sz w:val="24"/>
          <w:szCs w:val="24"/>
          <w:color w:val="auto"/>
          <w:vertAlign w:val="superscript"/>
        </w:rPr>
      </w:pPr>
    </w:p>
    <w:p>
      <w:pPr>
        <w:ind w:left="558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78" w:name="page79"/>
    <w:bookmarkEnd w:id="78"/>
    <w:p>
      <w:pPr>
        <w:jc w:val="both"/>
        <w:ind w:left="260" w:hanging="255"/>
        <w:spacing w:after="0" w:line="234" w:lineRule="auto"/>
        <w:tabs>
          <w:tab w:leader="none" w:pos="26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Consists of The Shyft Group, Inc. Directors’ Stock Purchase Plan. This plan provides that non-employee directors of the Company may elect to receive at least 25% and up to 100% of their “director’s fees” in the form of the Company’s common stock. The term “director’s fees” means the amount of income payable to a non-employee director for his or her service as a director of the Company, including payments for attendance at meetings of the Company’s Board of Directors or meetings of committees of the Board, and any retainer fee paid to such persons as members of the Board. A non-employee director who elects to receive Company common stock in lieu of some or all of his or her director’s fees will, on or shortly after each “applicable date,” receive a number of shares of common stock (rounded down to the nearest whole share) determined by dividing (1) the dollar amount of the director’s fees payable to him or her on the applicable date that he or she has elected to receive in common stock by (2) the market value of common stock on the applicable date. The term “applicable date” means any date on which a director’s fee is payable to the participant. 9,894 shares have been issued under this plan. All of the shares reflected in column (c) for this plan may be issued as described above other than upon the exercise of options, warrants or rights.</w:t>
      </w:r>
    </w:p>
    <w:p>
      <w:pPr>
        <w:spacing w:after="0" w:line="69" w:lineRule="exact"/>
        <w:rPr>
          <w:rFonts w:ascii="Times New Roman" w:cs="Times New Roman" w:eastAsia="Times New Roman" w:hAnsi="Times New Roman"/>
          <w:sz w:val="24"/>
          <w:szCs w:val="24"/>
          <w:color w:val="auto"/>
          <w:vertAlign w:val="superscript"/>
        </w:rPr>
      </w:pPr>
    </w:p>
    <w:p>
      <w:pPr>
        <w:ind w:left="260" w:hanging="255"/>
        <w:spacing w:after="0"/>
        <w:tabs>
          <w:tab w:leader="none" w:pos="26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number of shares reflected in column (a) in the table above represents shares issuable pursuant to outstanding PSUs and RSUs, for which there is no exercise price.</w:t>
      </w:r>
    </w:p>
    <w:p>
      <w:pPr>
        <w:spacing w:after="0" w:line="155" w:lineRule="exact"/>
        <w:rPr>
          <w:rFonts w:ascii="Times New Roman" w:cs="Times New Roman" w:eastAsia="Times New Roman" w:hAnsi="Times New Roman"/>
          <w:sz w:val="24"/>
          <w:szCs w:val="24"/>
          <w:color w:val="auto"/>
          <w:vertAlign w:val="superscript"/>
        </w:rPr>
      </w:pPr>
    </w:p>
    <w:p>
      <w:pPr>
        <w:jc w:val="both"/>
        <w:ind w:left="260" w:hanging="255"/>
        <w:spacing w:after="0" w:line="219" w:lineRule="auto"/>
        <w:tabs>
          <w:tab w:leader="none" w:pos="26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Each of the plans reflected in the above table contains customary anti-dilution provisions that are applicable in the event of a stock split or certain other changes in the Company’s capitalization. In addition, the Stock Incentive Plan provides that if a stock option is canceled, surrendered, modified, expires or is terminated during the term of the plan but before the exercise of the option, the shares subject to the option will be available for other awards under the plan. All of the shares reflected in column (c) for the Stock Incentive Plan may be issued other than upon the exercise of options, warrants or rights.</w:t>
      </w:r>
    </w:p>
    <w:p>
      <w:pPr>
        <w:spacing w:after="0" w:line="157" w:lineRule="exact"/>
        <w:rPr>
          <w:sz w:val="20"/>
          <w:szCs w:val="20"/>
          <w:color w:val="auto"/>
        </w:rPr>
      </w:pPr>
    </w:p>
    <w:p>
      <w:pPr>
        <w:ind w:left="260"/>
        <w:spacing w:after="0" w:line="287" w:lineRule="auto"/>
        <w:rPr>
          <w:sz w:val="20"/>
          <w:szCs w:val="20"/>
          <w:color w:val="auto"/>
        </w:rPr>
      </w:pPr>
      <w:r>
        <w:rPr>
          <w:rFonts w:ascii="Times New Roman" w:cs="Times New Roman" w:eastAsia="Times New Roman" w:hAnsi="Times New Roman"/>
          <w:sz w:val="14"/>
          <w:szCs w:val="14"/>
          <w:color w:val="auto"/>
        </w:rPr>
        <w:t>The numbers of shares reflected in column (c) in the table above with respect to the Stock Incentive Plan represent new shares that may be granted by the Company, and not shares issuable upon the exercise of an existing option, warrant or right.</w:t>
      </w:r>
    </w:p>
    <w:p>
      <w:pPr>
        <w:spacing w:after="0" w:line="1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13.</w:t>
      </w:r>
      <w:r>
        <w:rPr>
          <w:sz w:val="20"/>
          <w:szCs w:val="20"/>
          <w:color w:val="auto"/>
        </w:rPr>
        <w:tab/>
      </w:r>
      <w:r>
        <w:rPr>
          <w:rFonts w:ascii="Times New Roman" w:cs="Times New Roman" w:eastAsia="Times New Roman" w:hAnsi="Times New Roman"/>
          <w:sz w:val="14"/>
          <w:szCs w:val="14"/>
          <w:u w:val="single" w:color="auto"/>
          <w:color w:val="auto"/>
        </w:rPr>
        <w:t>Certain Relationships and Related Transactions, and Director Independence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is incorporated by reference from our definitive proxy statement for the 2025 Annual Meeting of Shareholders.</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14.</w:t>
      </w:r>
      <w:r>
        <w:rPr>
          <w:sz w:val="20"/>
          <w:szCs w:val="20"/>
          <w:color w:val="auto"/>
        </w:rPr>
        <w:tab/>
      </w:r>
      <w:r>
        <w:rPr>
          <w:rFonts w:ascii="Times New Roman" w:cs="Times New Roman" w:eastAsia="Times New Roman" w:hAnsi="Times New Roman"/>
          <w:sz w:val="14"/>
          <w:szCs w:val="14"/>
          <w:u w:val="single" w:color="auto"/>
          <w:color w:val="auto"/>
        </w:rPr>
        <w:t>Principal Accountant Fees and Services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about aggregate fees billed to us by our principal accountant, Deloitte &amp; Touche LLP [PCAOB ID No.34] is incorporated by reference from our definitive proxy statement for the 2025 Annual Meeting of Shareholders.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color w:val="auto"/>
        </w:rPr>
        <w:t>PART IV</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Item 15.</w:t>
      </w:r>
      <w:r>
        <w:rPr>
          <w:sz w:val="20"/>
          <w:szCs w:val="20"/>
          <w:color w:val="auto"/>
        </w:rPr>
        <w:tab/>
      </w:r>
      <w:r>
        <w:rPr>
          <w:rFonts w:ascii="Times New Roman" w:cs="Times New Roman" w:eastAsia="Times New Roman" w:hAnsi="Times New Roman"/>
          <w:sz w:val="14"/>
          <w:szCs w:val="14"/>
          <w:u w:val="single" w:color="auto"/>
          <w:color w:val="auto"/>
        </w:rPr>
        <w:t>Exhibits and Financial Statement Schedules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4"/>
          <w:szCs w:val="14"/>
          <w:color w:val="auto"/>
        </w:rPr>
        <w:t>Item 15(a)(1).</w:t>
      </w:r>
      <w:r>
        <w:rPr>
          <w:sz w:val="20"/>
          <w:szCs w:val="20"/>
          <w:color w:val="auto"/>
        </w:rPr>
        <w:tab/>
      </w:r>
      <w:r>
        <w:rPr>
          <w:rFonts w:ascii="Times New Roman" w:cs="Times New Roman" w:eastAsia="Times New Roman" w:hAnsi="Times New Roman"/>
          <w:sz w:val="14"/>
          <w:szCs w:val="14"/>
          <w:u w:val="single" w:color="auto"/>
          <w:color w:val="auto"/>
        </w:rPr>
        <w:t>List of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consolidated financial statements of the Company and its subsidiaries, and reports of our registered independent public accounting firm, are filed as a part of this report under Item 8 -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Statements and Supplementary Data:</w:t>
      </w:r>
    </w:p>
    <w:p>
      <w:pPr>
        <w:spacing w:after="0" w:line="165" w:lineRule="exact"/>
        <w:rPr>
          <w:sz w:val="20"/>
          <w:szCs w:val="20"/>
          <w:color w:val="auto"/>
        </w:rPr>
      </w:pPr>
    </w:p>
    <w:p>
      <w:pPr>
        <w:ind w:left="680"/>
        <w:spacing w:after="0" w:line="287" w:lineRule="auto"/>
        <w:rPr>
          <w:sz w:val="20"/>
          <w:szCs w:val="20"/>
          <w:color w:val="auto"/>
        </w:rPr>
      </w:pPr>
      <w:r>
        <w:rPr>
          <w:rFonts w:ascii="Times New Roman" w:cs="Times New Roman" w:eastAsia="Times New Roman" w:hAnsi="Times New Roman"/>
          <w:sz w:val="14"/>
          <w:szCs w:val="14"/>
          <w:color w:val="auto"/>
        </w:rPr>
        <w:t>Independent Registered Public Accounting Firm’s Report on Consolidated Financial Statements and Internal Control over Financial Reporting – Year Ended December 31, 2024, 2023, and 2022</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Consolidated Balance Sheets – December 31, 2024 and December 31, 2023</w:t>
      </w:r>
    </w:p>
    <w:p>
      <w:pPr>
        <w:spacing w:after="0" w:line="179" w:lineRule="exact"/>
        <w:rPr>
          <w:sz w:val="20"/>
          <w:szCs w:val="20"/>
          <w:color w:val="auto"/>
        </w:rPr>
      </w:pPr>
    </w:p>
    <w:p>
      <w:pPr>
        <w:ind w:left="680" w:right="4860"/>
        <w:spacing w:after="0" w:line="518" w:lineRule="auto"/>
        <w:rPr>
          <w:sz w:val="20"/>
          <w:szCs w:val="20"/>
          <w:color w:val="auto"/>
        </w:rPr>
      </w:pPr>
      <w:r>
        <w:rPr>
          <w:rFonts w:ascii="Times New Roman" w:cs="Times New Roman" w:eastAsia="Times New Roman" w:hAnsi="Times New Roman"/>
          <w:sz w:val="14"/>
          <w:szCs w:val="14"/>
          <w:color w:val="auto"/>
        </w:rPr>
        <w:t>Consolidated Statements of Operations – Years Ended December 31, 2024, 2023, and 2022 Consolidated Statements of Shareholders’ Equity – Years Ended December 31, 2024, 2023, and 2022 Consolidated Statements of Cash Flows – Years Ended December 31, 2024, 2023, and 2022 Notes to Consolidated Financial Statements</w:t>
      </w:r>
    </w:p>
    <w:p>
      <w:pPr>
        <w:spacing w:after="0" w:line="139"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4"/>
          <w:szCs w:val="14"/>
          <w:color w:val="auto"/>
        </w:rPr>
        <w:t>Item 15(a)(2).</w:t>
      </w:r>
      <w:r>
        <w:rPr>
          <w:sz w:val="20"/>
          <w:szCs w:val="20"/>
          <w:color w:val="auto"/>
        </w:rPr>
        <w:tab/>
      </w:r>
      <w:r>
        <w:rPr>
          <w:rFonts w:ascii="Times New Roman" w:cs="Times New Roman" w:eastAsia="Times New Roman" w:hAnsi="Times New Roman"/>
          <w:sz w:val="14"/>
          <w:szCs w:val="14"/>
          <w:u w:val="single" w:color="auto"/>
          <w:color w:val="auto"/>
        </w:rPr>
        <w:t>Financial Statement Schedules</w:t>
      </w:r>
      <w:r>
        <w:rPr>
          <w:rFonts w:ascii="Times New Roman" w:cs="Times New Roman" w:eastAsia="Times New Roman" w:hAnsi="Times New Roman"/>
          <w:sz w:val="14"/>
          <w:szCs w:val="14"/>
          <w:color w:val="auto"/>
        </w:rPr>
        <w:t>. Attached as Appendix 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consolidated financial statement schedule of the Company and its subsidiaries is filed as part of this report: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Schedule II-Valuation and Qualifying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other financial statement schedules are not required under the related instructions or are inapplicable and therefore have been omitted.</w:t>
      </w:r>
    </w:p>
    <w:p>
      <w:pPr>
        <w:spacing w:after="0" w:line="179"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4"/>
          <w:szCs w:val="14"/>
          <w:color w:val="auto"/>
        </w:rPr>
        <w:t>Item 15(a)(3).</w:t>
      </w:r>
      <w:r>
        <w:rPr>
          <w:sz w:val="20"/>
          <w:szCs w:val="20"/>
          <w:color w:val="auto"/>
        </w:rPr>
        <w:tab/>
      </w:r>
      <w:r>
        <w:rPr>
          <w:rFonts w:ascii="Times New Roman" w:cs="Times New Roman" w:eastAsia="Times New Roman" w:hAnsi="Times New Roman"/>
          <w:sz w:val="14"/>
          <w:szCs w:val="14"/>
          <w:u w:val="single" w:color="auto"/>
          <w:color w:val="auto"/>
        </w:rPr>
        <w:t xml:space="preserve">List of Exhibits. </w:t>
      </w:r>
      <w:r>
        <w:rPr>
          <w:rFonts w:ascii="Times New Roman" w:cs="Times New Roman" w:eastAsia="Times New Roman" w:hAnsi="Times New Roman"/>
          <w:sz w:val="14"/>
          <w:szCs w:val="14"/>
          <w:color w:val="auto"/>
        </w:rPr>
        <w:t>The following exhibits are filed as a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580" w:type="dxa"/>
            <w:vAlign w:val="bottom"/>
          </w:tcPr>
          <w:p>
            <w:pPr>
              <w:spacing w:after="0"/>
              <w:rPr>
                <w:sz w:val="13"/>
                <w:szCs w:val="13"/>
                <w:color w:val="auto"/>
              </w:rPr>
            </w:pPr>
          </w:p>
        </w:tc>
        <w:tc>
          <w:tcPr>
            <w:tcW w:w="10100" w:type="dxa"/>
            <w:vAlign w:val="bottom"/>
            <w:gridSpan w:val="8"/>
          </w:tcPr>
          <w:p>
            <w:pPr>
              <w:ind w:left="4760"/>
              <w:spacing w:after="0"/>
              <w:rPr>
                <w:sz w:val="20"/>
                <w:szCs w:val="20"/>
                <w:color w:val="auto"/>
              </w:rPr>
            </w:pPr>
            <w:r>
              <w:rPr>
                <w:rFonts w:ascii="Times New Roman" w:cs="Times New Roman" w:eastAsia="Times New Roman" w:hAnsi="Times New Roman"/>
                <w:sz w:val="14"/>
                <w:szCs w:val="14"/>
                <w:color w:val="auto"/>
              </w:rPr>
              <w:t>Document</w:t>
            </w:r>
          </w:p>
        </w:tc>
      </w:tr>
      <w:tr>
        <w:trPr>
          <w:trHeight w:val="150"/>
        </w:trPr>
        <w:tc>
          <w:tcPr>
            <w:tcW w:w="14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Number</w:t>
            </w:r>
          </w:p>
        </w:tc>
        <w:tc>
          <w:tcPr>
            <w:tcW w:w="58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600" w:type="dxa"/>
            <w:vAlign w:val="bottom"/>
            <w:gridSpan w:val="2"/>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580" w:type="dxa"/>
            <w:vAlign w:val="bottom"/>
          </w:tcPr>
          <w:p>
            <w:pPr>
              <w:spacing w:after="0"/>
              <w:rPr>
                <w:sz w:val="13"/>
                <w:szCs w:val="13"/>
                <w:color w:val="auto"/>
              </w:rPr>
            </w:pPr>
          </w:p>
        </w:tc>
        <w:tc>
          <w:tcPr>
            <w:tcW w:w="10060" w:type="dxa"/>
            <w:vAlign w:val="bottom"/>
            <w:tcBorders>
              <w:bottom w:val="single" w:sz="8" w:color="0000EE"/>
            </w:tcBorders>
            <w:gridSpan w:val="7"/>
          </w:tcPr>
          <w:p>
            <w:pPr>
              <w:spacing w:after="0" w:line="150"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Agreement and Plan of Merger, dated as of December 16, 2024, by and among The Shyft Group, Inc., Aebi Schmidt Holding AG, ASH US Group, LLC and Badger Merger Sub,</w:t>
              </w:r>
            </w:hyperlink>
          </w:p>
        </w:tc>
        <w:tc>
          <w:tcPr>
            <w:tcW w:w="40" w:type="dxa"/>
            <w:vAlign w:val="bottom"/>
          </w:tcPr>
          <w:p>
            <w:pPr>
              <w:spacing w:after="0"/>
              <w:rPr>
                <w:sz w:val="13"/>
                <w:szCs w:val="13"/>
                <w:color w:val="auto"/>
              </w:rPr>
            </w:pPr>
          </w:p>
        </w:tc>
      </w:tr>
      <w:tr>
        <w:trPr>
          <w:trHeight w:val="150"/>
        </w:trPr>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180" w:type="dxa"/>
            <w:vAlign w:val="bottom"/>
            <w:tcBorders>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Inc. (incorporated by reference to Exhibit 2.1 to the Form 8-K filed December 20, 2024).**</w:t>
              </w:r>
            </w:hyperlink>
          </w:p>
        </w:tc>
        <w:tc>
          <w:tcPr>
            <w:tcW w:w="4920" w:type="dxa"/>
            <w:vAlign w:val="bottom"/>
            <w:gridSpan w:val="6"/>
          </w:tcPr>
          <w:p>
            <w:pPr>
              <w:spacing w:after="0"/>
              <w:rPr>
                <w:sz w:val="13"/>
                <w:szCs w:val="13"/>
                <w:color w:val="auto"/>
              </w:rPr>
            </w:pPr>
          </w:p>
        </w:tc>
      </w:tr>
      <w:tr>
        <w:trPr>
          <w:trHeight w:val="320"/>
        </w:trPr>
        <w:tc>
          <w:tcPr>
            <w:tcW w:w="6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tcPr>
          <w:p>
            <w:pPr>
              <w:spacing w:after="0"/>
              <w:rPr>
                <w:sz w:val="24"/>
                <w:szCs w:val="24"/>
                <w:color w:val="auto"/>
              </w:rPr>
            </w:pPr>
          </w:p>
        </w:tc>
        <w:tc>
          <w:tcPr>
            <w:tcW w:w="10100" w:type="dxa"/>
            <w:vAlign w:val="bottom"/>
            <w:gridSpan w:val="8"/>
          </w:tcPr>
          <w:p>
            <w:pPr>
              <w:spacing w:after="0"/>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The Shyft Group, Inc. Restated Articles of Incorporation (incorporated by reference to Exhibit 3.1 to the Form 10-K filed March 25, 2021).</w:t>
              </w:r>
            </w:hyperlink>
          </w:p>
        </w:tc>
      </w:tr>
      <w:tr>
        <w:trPr>
          <w:trHeight w:val="20"/>
        </w:trPr>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0" w:type="dxa"/>
            <w:vAlign w:val="bottom"/>
            <w:gridSpan w:val="4"/>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320"/>
        </w:trPr>
        <w:tc>
          <w:tcPr>
            <w:tcW w:w="6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3.2</w:t>
            </w:r>
          </w:p>
        </w:tc>
        <w:tc>
          <w:tcPr>
            <w:tcW w:w="580" w:type="dxa"/>
            <w:vAlign w:val="bottom"/>
          </w:tcPr>
          <w:p>
            <w:pPr>
              <w:spacing w:after="0"/>
              <w:rPr>
                <w:sz w:val="24"/>
                <w:szCs w:val="24"/>
                <w:color w:val="auto"/>
              </w:rPr>
            </w:pPr>
          </w:p>
        </w:tc>
        <w:tc>
          <w:tcPr>
            <w:tcW w:w="10100" w:type="dxa"/>
            <w:vAlign w:val="bottom"/>
            <w:gridSpan w:val="8"/>
          </w:tcPr>
          <w:p>
            <w:pPr>
              <w:spacing w:after="0"/>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The Shyft Group, Inc. Second Amended and Restated Bylaws (incorporated by reference to Exhibit 3.2 to the Form 10-K filed February 22, 2024).</w:t>
              </w:r>
            </w:hyperlink>
          </w:p>
        </w:tc>
      </w:tr>
      <w:tr>
        <w:trPr>
          <w:trHeight w:val="320"/>
        </w:trPr>
        <w:tc>
          <w:tcPr>
            <w:tcW w:w="6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4.1</w:t>
            </w:r>
          </w:p>
        </w:tc>
        <w:tc>
          <w:tcPr>
            <w:tcW w:w="580" w:type="dxa"/>
            <w:vAlign w:val="bottom"/>
          </w:tcPr>
          <w:p>
            <w:pPr>
              <w:spacing w:after="0"/>
              <w:rPr>
                <w:sz w:val="24"/>
                <w:szCs w:val="24"/>
                <w:color w:val="auto"/>
              </w:rPr>
            </w:pPr>
          </w:p>
        </w:tc>
        <w:tc>
          <w:tcPr>
            <w:tcW w:w="8320" w:type="dxa"/>
            <w:vAlign w:val="bottom"/>
            <w:tcBorders>
              <w:top w:val="single" w:sz="8" w:color="0000EE"/>
            </w:tcBorders>
            <w:gridSpan w:val="6"/>
          </w:tcPr>
          <w:p>
            <w:pPr>
              <w:spacing w:after="0"/>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Description of Common Stock (incorporated by reference to Exhibit 4.3 to the Form 10-K filed March 16, 2020).</w:t>
              </w:r>
            </w:hyperlink>
          </w:p>
        </w:tc>
        <w:tc>
          <w:tcPr>
            <w:tcW w:w="1780" w:type="dxa"/>
            <w:vAlign w:val="bottom"/>
            <w:gridSpan w:val="2"/>
          </w:tcPr>
          <w:p>
            <w:pPr>
              <w:spacing w:after="0"/>
              <w:rPr>
                <w:sz w:val="24"/>
                <w:szCs w:val="24"/>
                <w:color w:val="auto"/>
              </w:rPr>
            </w:pPr>
          </w:p>
        </w:tc>
      </w:tr>
      <w:tr>
        <w:trPr>
          <w:trHeight w:val="351"/>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60" w:type="dxa"/>
            <w:vAlign w:val="bottom"/>
            <w:tcBorders>
              <w:top w:val="single" w:sz="8" w:color="0000EE"/>
            </w:tcBorders>
          </w:tcPr>
          <w:p>
            <w:pPr>
              <w:ind w:left="4400"/>
              <w:spacing w:after="0"/>
              <w:rPr>
                <w:sz w:val="20"/>
                <w:szCs w:val="20"/>
                <w:color w:val="auto"/>
              </w:rPr>
            </w:pPr>
            <w:r>
              <w:rPr>
                <w:rFonts w:ascii="Times New Roman" w:cs="Times New Roman" w:eastAsia="Times New Roman" w:hAnsi="Times New Roman"/>
                <w:sz w:val="14"/>
                <w:szCs w:val="14"/>
                <w:color w:val="auto"/>
              </w:rPr>
              <w:t>79</w:t>
            </w: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7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677" w:right="31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640" w:type="dxa"/>
            <w:vAlign w:val="bottom"/>
            <w:gridSpan w:val="2"/>
          </w:tcPr>
          <w:p>
            <w:pPr>
              <w:jc w:val="center"/>
              <w:ind w:left="109"/>
              <w:spacing w:after="0" w:line="153" w:lineRule="exact"/>
              <w:rPr>
                <w:sz w:val="20"/>
                <w:szCs w:val="20"/>
                <w:color w:val="auto"/>
              </w:rPr>
            </w:pPr>
            <w:r>
              <w:rPr>
                <w:rFonts w:ascii="Times New Roman" w:cs="Times New Roman" w:eastAsia="Times New Roman" w:hAnsi="Times New Roman"/>
                <w:sz w:val="14"/>
                <w:szCs w:val="14"/>
                <w:color w:val="auto"/>
              </w:rPr>
              <w:t>Number</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80" w:type="dxa"/>
            <w:vAlign w:val="bottom"/>
          </w:tcPr>
          <w:p>
            <w:pPr>
              <w:spacing w:after="0"/>
              <w:rPr>
                <w:sz w:val="13"/>
                <w:szCs w:val="13"/>
                <w:color w:val="auto"/>
              </w:rPr>
            </w:pPr>
          </w:p>
        </w:tc>
        <w:tc>
          <w:tcPr>
            <w:tcW w:w="46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10.1</w:t>
            </w:r>
          </w:p>
        </w:tc>
        <w:tc>
          <w:tcPr>
            <w:tcW w:w="620" w:type="dxa"/>
            <w:vAlign w:val="bottom"/>
          </w:tcPr>
          <w:p>
            <w:pPr>
              <w:spacing w:after="0"/>
              <w:rPr>
                <w:sz w:val="13"/>
                <w:szCs w:val="13"/>
                <w:color w:val="auto"/>
              </w:rPr>
            </w:pPr>
          </w:p>
        </w:tc>
        <w:tc>
          <w:tcPr>
            <w:tcW w:w="7740" w:type="dxa"/>
            <w:vAlign w:val="bottom"/>
            <w:tcBorders>
              <w:bottom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The Shyft Group, Inc. Directors’ Stock Purchase Plan (incorporated by reference to Exhibit 4.5 to the Form S-8 filed August 14, 2002).*</w:t>
              </w:r>
            </w:hyperlink>
          </w:p>
        </w:tc>
        <w:tc>
          <w:tcPr>
            <w:tcW w:w="2280" w:type="dxa"/>
            <w:vAlign w:val="bottom"/>
            <w:gridSpan w:val="10"/>
          </w:tcPr>
          <w:p>
            <w:pPr>
              <w:spacing w:after="0"/>
              <w:rPr>
                <w:sz w:val="13"/>
                <w:szCs w:val="13"/>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7"/>
              </w:rPr>
              <w:t>10.2</w:t>
            </w:r>
          </w:p>
        </w:tc>
        <w:tc>
          <w:tcPr>
            <w:tcW w:w="620" w:type="dxa"/>
            <w:vAlign w:val="bottom"/>
          </w:tcPr>
          <w:p>
            <w:pPr>
              <w:spacing w:after="0"/>
              <w:rPr>
                <w:sz w:val="24"/>
                <w:szCs w:val="24"/>
                <w:color w:val="auto"/>
              </w:rPr>
            </w:pPr>
          </w:p>
        </w:tc>
        <w:tc>
          <w:tcPr>
            <w:tcW w:w="900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Form of Indemnification Agreement for directors and executive officers (incorporated by reference to Exhibit 10.2 to the Form 10-K filed February 24, 2022)*</w:t>
              </w:r>
            </w:hyperlink>
          </w:p>
        </w:tc>
        <w:tc>
          <w:tcPr>
            <w:tcW w:w="1020" w:type="dxa"/>
            <w:vAlign w:val="bottom"/>
            <w:gridSpan w:val="4"/>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7"/>
              </w:rPr>
              <w:t>10.3</w:t>
            </w:r>
          </w:p>
        </w:tc>
        <w:tc>
          <w:tcPr>
            <w:tcW w:w="620" w:type="dxa"/>
            <w:vAlign w:val="bottom"/>
          </w:tcPr>
          <w:p>
            <w:pPr>
              <w:spacing w:after="0"/>
              <w:rPr>
                <w:sz w:val="24"/>
                <w:szCs w:val="24"/>
                <w:color w:val="auto"/>
              </w:rPr>
            </w:pPr>
          </w:p>
        </w:tc>
        <w:tc>
          <w:tcPr>
            <w:tcW w:w="822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The Shyft Group, Inc. Leadership Team Compensation Plan (incorporated by reference to Exhibit 10.1 to the Form 10-Q filed August 5, 2015). *</w:t>
              </w:r>
            </w:hyperlink>
          </w:p>
        </w:tc>
        <w:tc>
          <w:tcPr>
            <w:tcW w:w="1800" w:type="dxa"/>
            <w:vAlign w:val="bottom"/>
            <w:gridSpan w:val="6"/>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7"/>
              </w:rPr>
              <w:t>10.4</w:t>
            </w:r>
          </w:p>
        </w:tc>
        <w:tc>
          <w:tcPr>
            <w:tcW w:w="620" w:type="dxa"/>
            <w:vAlign w:val="bottom"/>
          </w:tcPr>
          <w:p>
            <w:pPr>
              <w:spacing w:after="0"/>
              <w:rPr>
                <w:sz w:val="24"/>
                <w:szCs w:val="24"/>
                <w:color w:val="auto"/>
              </w:rPr>
            </w:pPr>
          </w:p>
        </w:tc>
        <w:tc>
          <w:tcPr>
            <w:tcW w:w="75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The Shyft Group, Inc. Executive Severance Plan (incorporated by reference to Exhibit 10.1 to the Form 8-K filed August 10, 2022).*</w:t>
              </w:r>
            </w:hyperlink>
          </w:p>
        </w:tc>
        <w:tc>
          <w:tcPr>
            <w:tcW w:w="2480" w:type="dxa"/>
            <w:vAlign w:val="bottom"/>
            <w:gridSpan w:val="11"/>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7"/>
              </w:rPr>
              <w:t>10.5</w:t>
            </w:r>
          </w:p>
        </w:tc>
        <w:tc>
          <w:tcPr>
            <w:tcW w:w="620" w:type="dxa"/>
            <w:vAlign w:val="bottom"/>
          </w:tcPr>
          <w:p>
            <w:pPr>
              <w:spacing w:after="0"/>
              <w:rPr>
                <w:sz w:val="24"/>
                <w:szCs w:val="24"/>
                <w:color w:val="auto"/>
              </w:rPr>
            </w:pPr>
          </w:p>
        </w:tc>
        <w:tc>
          <w:tcPr>
            <w:tcW w:w="722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Supplemental Executive Retirement Plan (incorporated by reference to Exhibit 10.14 to the Form 10-K filed March 14, 2008).*</w:t>
              </w:r>
            </w:hyperlink>
          </w:p>
        </w:tc>
        <w:tc>
          <w:tcPr>
            <w:tcW w:w="2800" w:type="dxa"/>
            <w:vAlign w:val="bottom"/>
            <w:gridSpan w:val="13"/>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7"/>
              </w:rPr>
              <w:t>10.6</w:t>
            </w:r>
          </w:p>
        </w:tc>
        <w:tc>
          <w:tcPr>
            <w:tcW w:w="620" w:type="dxa"/>
            <w:vAlign w:val="bottom"/>
          </w:tcPr>
          <w:p>
            <w:pPr>
              <w:spacing w:after="0"/>
              <w:rPr>
                <w:sz w:val="24"/>
                <w:szCs w:val="24"/>
                <w:color w:val="auto"/>
              </w:rPr>
            </w:pPr>
          </w:p>
        </w:tc>
        <w:tc>
          <w:tcPr>
            <w:tcW w:w="1002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The Shyft Group, Inc. Stock Incentive Plan of 2016, as amended by the First Amendment to Stock Incentive Plan (incorporated by reference to Appendix B to the definitive</w:t>
              </w:r>
            </w:hyperlink>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20" w:type="dxa"/>
            <w:vAlign w:val="bottom"/>
            <w:tcBorders>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proxy statement on Schedule 14A filed April 10, 2020).*</w:t>
              </w:r>
            </w:hyperlink>
          </w:p>
        </w:tc>
        <w:tc>
          <w:tcPr>
            <w:tcW w:w="6800" w:type="dxa"/>
            <w:vAlign w:val="bottom"/>
            <w:gridSpan w:val="14"/>
          </w:tcPr>
          <w:p>
            <w:pPr>
              <w:spacing w:after="0"/>
              <w:rPr>
                <w:sz w:val="13"/>
                <w:szCs w:val="13"/>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7"/>
              </w:rPr>
              <w:t>10.7</w:t>
            </w:r>
          </w:p>
        </w:tc>
        <w:tc>
          <w:tcPr>
            <w:tcW w:w="620" w:type="dxa"/>
            <w:vAlign w:val="bottom"/>
          </w:tcPr>
          <w:p>
            <w:pPr>
              <w:spacing w:after="0"/>
              <w:rPr>
                <w:sz w:val="24"/>
                <w:szCs w:val="24"/>
                <w:color w:val="auto"/>
              </w:rPr>
            </w:pPr>
          </w:p>
        </w:tc>
        <w:tc>
          <w:tcPr>
            <w:tcW w:w="10020" w:type="dxa"/>
            <w:vAlign w:val="bottom"/>
            <w:gridSpan w:val="16"/>
          </w:tcPr>
          <w:p>
            <w:pPr>
              <w:spacing w:after="0"/>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The Shyft Group, Inc. Stock Incentive Plan (Amended and Restated Effective May 17, 2023) (incorporated by reference to Exhibit 10.1 to the Form 8-K filed May 18, 2023).*</w:t>
              </w:r>
            </w:hyperlink>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7"/>
              </w:rPr>
              <w:t>10.8</w:t>
            </w:r>
          </w:p>
        </w:tc>
        <w:tc>
          <w:tcPr>
            <w:tcW w:w="620" w:type="dxa"/>
            <w:vAlign w:val="bottom"/>
          </w:tcPr>
          <w:p>
            <w:pPr>
              <w:spacing w:after="0"/>
              <w:rPr>
                <w:sz w:val="24"/>
                <w:szCs w:val="24"/>
                <w:color w:val="auto"/>
              </w:rPr>
            </w:pPr>
          </w:p>
        </w:tc>
        <w:tc>
          <w:tcPr>
            <w:tcW w:w="9900" w:type="dxa"/>
            <w:vAlign w:val="bottom"/>
            <w:tcBorders>
              <w:top w:val="single" w:sz="8" w:color="0000EE"/>
            </w:tcBorders>
            <w:gridSpan w:val="15"/>
          </w:tcPr>
          <w:p>
            <w:pPr>
              <w:spacing w:after="0"/>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Form of Performance Share Unit Agreement (incorporated by reference to Exhibit 10.15 to the Form 10-K filed March 25, 2021).*</w:t>
              </w:r>
            </w:hyperlink>
          </w:p>
        </w:tc>
        <w:tc>
          <w:tcPr>
            <w:tcW w:w="120" w:type="dxa"/>
            <w:vAlign w:val="bottom"/>
          </w:tcPr>
          <w:p>
            <w:pPr>
              <w:spacing w:after="0"/>
              <w:rPr>
                <w:sz w:val="24"/>
                <w:szCs w:val="24"/>
                <w:color w:val="auto"/>
              </w:rPr>
            </w:pPr>
          </w:p>
        </w:tc>
      </w:tr>
      <w:tr>
        <w:trPr>
          <w:trHeight w:val="20"/>
        </w:trPr>
        <w:tc>
          <w:tcPr>
            <w:tcW w:w="64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98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7"/>
              </w:rPr>
              <w:t>10.9</w:t>
            </w:r>
          </w:p>
        </w:tc>
        <w:tc>
          <w:tcPr>
            <w:tcW w:w="620" w:type="dxa"/>
            <w:vAlign w:val="bottom"/>
          </w:tcPr>
          <w:p>
            <w:pPr>
              <w:spacing w:after="0"/>
              <w:rPr>
                <w:sz w:val="24"/>
                <w:szCs w:val="24"/>
                <w:color w:val="auto"/>
              </w:rPr>
            </w:pPr>
          </w:p>
        </w:tc>
        <w:tc>
          <w:tcPr>
            <w:tcW w:w="800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Form of Restricted Stock Unit Agreement (employees) (incorporated by reference to Exhibit 10.16 to the Form 10-K filed March 25, 2021).*</w:t>
              </w:r>
            </w:hyperlink>
          </w:p>
        </w:tc>
        <w:tc>
          <w:tcPr>
            <w:tcW w:w="2020" w:type="dxa"/>
            <w:vAlign w:val="bottom"/>
            <w:gridSpan w:val="8"/>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10.10</w:t>
            </w:r>
          </w:p>
        </w:tc>
        <w:tc>
          <w:tcPr>
            <w:tcW w:w="620" w:type="dxa"/>
            <w:vAlign w:val="bottom"/>
          </w:tcPr>
          <w:p>
            <w:pPr>
              <w:spacing w:after="0"/>
              <w:rPr>
                <w:sz w:val="24"/>
                <w:szCs w:val="24"/>
                <w:color w:val="auto"/>
              </w:rPr>
            </w:pPr>
          </w:p>
        </w:tc>
        <w:tc>
          <w:tcPr>
            <w:tcW w:w="888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Form of Restricted Stock Unit Agreement (non-employee directors) (incorporated by reference to Exhibit 10.10 to the Form 10-K filed February 24, 2022).*</w:t>
              </w:r>
            </w:hyperlink>
          </w:p>
        </w:tc>
        <w:tc>
          <w:tcPr>
            <w:tcW w:w="1140" w:type="dxa"/>
            <w:vAlign w:val="bottom"/>
            <w:gridSpan w:val="5"/>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10.11</w:t>
            </w:r>
          </w:p>
        </w:tc>
        <w:tc>
          <w:tcPr>
            <w:tcW w:w="620" w:type="dxa"/>
            <w:vAlign w:val="bottom"/>
          </w:tcPr>
          <w:p>
            <w:pPr>
              <w:spacing w:after="0"/>
              <w:rPr>
                <w:sz w:val="24"/>
                <w:szCs w:val="24"/>
                <w:color w:val="auto"/>
              </w:rPr>
            </w:pPr>
          </w:p>
        </w:tc>
        <w:tc>
          <w:tcPr>
            <w:tcW w:w="10020" w:type="dxa"/>
            <w:vAlign w:val="bottom"/>
            <w:gridSpan w:val="16"/>
          </w:tcPr>
          <w:p>
            <w:pPr>
              <w:spacing w:after="0"/>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Form of Performance Share Unit Agreement (2022 LTI) (incorporated by reference to Exhibit 10.8.1 to the Form 10-Q filed April 28, 2022).*</w:t>
              </w:r>
            </w:hyperlink>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10.12</w:t>
            </w:r>
          </w:p>
        </w:tc>
        <w:tc>
          <w:tcPr>
            <w:tcW w:w="620" w:type="dxa"/>
            <w:vAlign w:val="bottom"/>
          </w:tcPr>
          <w:p>
            <w:pPr>
              <w:spacing w:after="0"/>
              <w:rPr>
                <w:sz w:val="24"/>
                <w:szCs w:val="24"/>
                <w:color w:val="auto"/>
              </w:rPr>
            </w:pPr>
          </w:p>
        </w:tc>
        <w:tc>
          <w:tcPr>
            <w:tcW w:w="78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Form of Restricted Stock Unit Agreement (2022 LTI) (incorporated by reference to Exhibit 10.9.1 to the Form 10-Q filed April 28, 2022).*</w:t>
              </w:r>
            </w:hyperlink>
          </w:p>
        </w:tc>
        <w:tc>
          <w:tcPr>
            <w:tcW w:w="140" w:type="dxa"/>
            <w:vAlign w:val="bottom"/>
            <w:tcBorders>
              <w:top w:val="single" w:sz="8" w:color="0000EE"/>
            </w:tcBorders>
            <w:gridSpan w:val="2"/>
          </w:tcPr>
          <w:p>
            <w:pPr>
              <w:spacing w:after="0"/>
              <w:rPr>
                <w:sz w:val="24"/>
                <w:szCs w:val="24"/>
                <w:color w:val="auto"/>
              </w:rPr>
            </w:pPr>
          </w:p>
        </w:tc>
        <w:tc>
          <w:tcPr>
            <w:tcW w:w="2000" w:type="dxa"/>
            <w:vAlign w:val="bottom"/>
            <w:gridSpan w:val="7"/>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10.13</w:t>
            </w:r>
          </w:p>
        </w:tc>
        <w:tc>
          <w:tcPr>
            <w:tcW w:w="620" w:type="dxa"/>
            <w:vAlign w:val="bottom"/>
          </w:tcPr>
          <w:p>
            <w:pPr>
              <w:spacing w:after="0"/>
              <w:rPr>
                <w:sz w:val="24"/>
                <w:szCs w:val="24"/>
                <w:color w:val="auto"/>
              </w:rPr>
            </w:pPr>
          </w:p>
        </w:tc>
        <w:tc>
          <w:tcPr>
            <w:tcW w:w="10020" w:type="dxa"/>
            <w:vAlign w:val="bottom"/>
            <w:gridSpan w:val="16"/>
          </w:tcPr>
          <w:p>
            <w:pPr>
              <w:spacing w:after="0"/>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Form of Restricted Stock Unit Agreement (2022 LTI) (non-employee directors) (incorporated by reference to Exhibit 10.9.1 to the Form 10-Q filed July 28, 2022).*</w:t>
              </w:r>
            </w:hyperlink>
          </w:p>
        </w:tc>
      </w:tr>
      <w:tr>
        <w:trPr>
          <w:trHeight w:val="20"/>
        </w:trPr>
        <w:tc>
          <w:tcPr>
            <w:tcW w:w="64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60" w:type="dxa"/>
            <w:vAlign w:val="bottom"/>
            <w:gridSpan w:val="1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10.14</w:t>
            </w:r>
          </w:p>
        </w:tc>
        <w:tc>
          <w:tcPr>
            <w:tcW w:w="620" w:type="dxa"/>
            <w:vAlign w:val="bottom"/>
          </w:tcPr>
          <w:p>
            <w:pPr>
              <w:spacing w:after="0"/>
              <w:rPr>
                <w:sz w:val="24"/>
                <w:szCs w:val="24"/>
                <w:color w:val="auto"/>
              </w:rPr>
            </w:pPr>
          </w:p>
        </w:tc>
        <w:tc>
          <w:tcPr>
            <w:tcW w:w="98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Employment Offer Letter dated July 22, 2014, from the Company to Daryl M. Adams (incorporated by reference to Exhibit 10.1 to the Form 10-Q filed November 4, 2014).*</w:t>
              </w:r>
            </w:hyperlink>
          </w:p>
        </w:tc>
        <w:tc>
          <w:tcPr>
            <w:tcW w:w="180" w:type="dxa"/>
            <w:vAlign w:val="bottom"/>
            <w:gridSpan w:val="2"/>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10.15</w:t>
            </w:r>
          </w:p>
        </w:tc>
        <w:tc>
          <w:tcPr>
            <w:tcW w:w="620" w:type="dxa"/>
            <w:vAlign w:val="bottom"/>
          </w:tcPr>
          <w:p>
            <w:pPr>
              <w:spacing w:after="0"/>
              <w:rPr>
                <w:sz w:val="24"/>
                <w:szCs w:val="24"/>
                <w:color w:val="auto"/>
              </w:rPr>
            </w:pPr>
          </w:p>
        </w:tc>
        <w:tc>
          <w:tcPr>
            <w:tcW w:w="1002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Employment Offer Letter dated January 21, 2020 from the Company to Jonathan C. Douyard (incorporated by reference to Exhibit 10.25 to the Form 10-K filed March 16,</w:t>
              </w:r>
            </w:hyperlink>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40" w:type="dxa"/>
            <w:vAlign w:val="bottom"/>
            <w:gridSpan w:val="3"/>
          </w:tcPr>
          <w:p>
            <w:pPr>
              <w:ind w:left="600"/>
              <w:spacing w:after="0" w:line="150"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2020).*</w:t>
              </w:r>
            </w:hyperlink>
          </w:p>
        </w:tc>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51"/>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800" w:type="dxa"/>
            <w:vAlign w:val="bottom"/>
            <w:gridSpan w:val="2"/>
          </w:tcPr>
          <w:p>
            <w:pPr>
              <w:jc w:val="right"/>
              <w:ind w:right="2760"/>
              <w:spacing w:after="0"/>
              <w:rPr>
                <w:sz w:val="20"/>
                <w:szCs w:val="20"/>
                <w:color w:val="auto"/>
              </w:rPr>
            </w:pPr>
            <w:r>
              <w:rPr>
                <w:rFonts w:ascii="Times New Roman" w:cs="Times New Roman" w:eastAsia="Times New Roman" w:hAnsi="Times New Roman"/>
                <w:sz w:val="14"/>
                <w:szCs w:val="14"/>
                <w:color w:val="auto"/>
              </w:rPr>
              <w:t>80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7"/>
        </w:trPr>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40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6" w:right="31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Exhibit</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80" w:type="dxa"/>
            <w:vAlign w:val="bottom"/>
          </w:tcPr>
          <w:p>
            <w:pPr>
              <w:spacing w:after="0"/>
              <w:rPr>
                <w:sz w:val="13"/>
                <w:szCs w:val="13"/>
                <w:color w:val="auto"/>
              </w:rPr>
            </w:pPr>
          </w:p>
        </w:tc>
        <w:tc>
          <w:tcPr>
            <w:tcW w:w="1060" w:type="dxa"/>
            <w:vAlign w:val="bottom"/>
            <w:gridSpan w:val="2"/>
          </w:tcPr>
          <w:p>
            <w:pPr>
              <w:jc w:val="center"/>
              <w:ind w:right="600"/>
              <w:spacing w:after="0" w:line="153" w:lineRule="exact"/>
              <w:rPr>
                <w:sz w:val="20"/>
                <w:szCs w:val="20"/>
                <w:color w:val="auto"/>
              </w:rPr>
            </w:pPr>
            <w:r>
              <w:rPr>
                <w:rFonts w:ascii="Times New Roman" w:cs="Times New Roman" w:eastAsia="Times New Roman" w:hAnsi="Times New Roman"/>
                <w:sz w:val="14"/>
                <w:szCs w:val="14"/>
                <w:color w:val="auto"/>
              </w:rPr>
              <w:t>Number</w:t>
            </w: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80" w:type="dxa"/>
            <w:vAlign w:val="bottom"/>
          </w:tcPr>
          <w:p>
            <w:pPr>
              <w:spacing w:after="0"/>
              <w:rPr>
                <w:sz w:val="13"/>
                <w:szCs w:val="13"/>
                <w:color w:val="auto"/>
              </w:rPr>
            </w:pPr>
          </w:p>
        </w:tc>
        <w:tc>
          <w:tcPr>
            <w:tcW w:w="46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10.16</w:t>
            </w:r>
          </w:p>
        </w:tc>
        <w:tc>
          <w:tcPr>
            <w:tcW w:w="600" w:type="dxa"/>
            <w:vAlign w:val="bottom"/>
          </w:tcPr>
          <w:p>
            <w:pPr>
              <w:spacing w:after="0"/>
              <w:rPr>
                <w:sz w:val="13"/>
                <w:szCs w:val="13"/>
                <w:color w:val="auto"/>
              </w:rPr>
            </w:pPr>
          </w:p>
        </w:tc>
        <w:tc>
          <w:tcPr>
            <w:tcW w:w="10040" w:type="dxa"/>
            <w:vAlign w:val="bottom"/>
            <w:tcBorders>
              <w:bottom w:val="single" w:sz="8" w:color="0000EE"/>
            </w:tcBorders>
            <w:gridSpan w:val="14"/>
          </w:tcPr>
          <w:p>
            <w:pPr>
              <w:spacing w:after="0" w:line="150"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Amended and Restated Credit Agreement dated November 30, 2021, by and among the Company and certain of the Company’s subsidiaries, as borrowers, Wells Fargo Bank,</w:t>
              </w:r>
            </w:hyperlink>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40" w:type="dxa"/>
            <w:vAlign w:val="bottom"/>
            <w:tcBorders>
              <w:bottom w:val="single" w:sz="8" w:color="0000EE"/>
            </w:tcBorders>
            <w:gridSpan w:val="7"/>
          </w:tcPr>
          <w:p>
            <w:pPr>
              <w:spacing w:after="0" w:line="150"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National Association, as administrative agent, and the lenders party thereto (incorporated by reference to Exhibit 10.1 to the Form 8-K filed December 1, 2021)</w:t>
              </w:r>
            </w:hyperlink>
          </w:p>
        </w:tc>
        <w:tc>
          <w:tcPr>
            <w:tcW w:w="1000" w:type="dxa"/>
            <w:vAlign w:val="bottom"/>
            <w:gridSpan w:val="7"/>
          </w:tcPr>
          <w:p>
            <w:pPr>
              <w:spacing w:after="0"/>
              <w:rPr>
                <w:sz w:val="13"/>
                <w:szCs w:val="13"/>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10.17</w:t>
            </w:r>
          </w:p>
        </w:tc>
        <w:tc>
          <w:tcPr>
            <w:tcW w:w="60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First Amendment to Amended and Restated Credit Agreement dated May 31, 2023 to Amended and Restated Credit Agreement dated November 30, 2021, by and among the</w:t>
              </w:r>
            </w:hyperlink>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40" w:type="dxa"/>
            <w:vAlign w:val="bottom"/>
            <w:tcBorders>
              <w:bottom w:val="single" w:sz="8" w:color="0000EE"/>
            </w:tcBorders>
            <w:gridSpan w:val="14"/>
          </w:tcPr>
          <w:p>
            <w:pPr>
              <w:spacing w:after="0" w:line="150"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Company and its affiliates, Wells Fargo Bank, National Association, as administrative agent, and the lenders party thereto (incorporated by reference to Exhibit 10.2 to the Form</w:t>
              </w:r>
            </w:hyperlink>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40" w:type="dxa"/>
            <w:vAlign w:val="bottom"/>
            <w:gridSpan w:val="14"/>
          </w:tcPr>
          <w:p>
            <w:pPr>
              <w:spacing w:after="0" w:line="150"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10-Q filed July 27, 2023).</w:t>
              </w:r>
            </w:hyperlink>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10.18</w:t>
            </w:r>
          </w:p>
        </w:tc>
        <w:tc>
          <w:tcPr>
            <w:tcW w:w="600" w:type="dxa"/>
            <w:vAlign w:val="bottom"/>
          </w:tcPr>
          <w:p>
            <w:pPr>
              <w:spacing w:after="0"/>
              <w:rPr>
                <w:sz w:val="24"/>
                <w:szCs w:val="24"/>
                <w:color w:val="auto"/>
              </w:rPr>
            </w:pPr>
          </w:p>
        </w:tc>
        <w:tc>
          <w:tcPr>
            <w:tcW w:w="10040" w:type="dxa"/>
            <w:vAlign w:val="bottom"/>
            <w:gridSpan w:val="14"/>
          </w:tcPr>
          <w:p>
            <w:pPr>
              <w:spacing w:after="0"/>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Second Amendment, dated as of March 27, 2024, to the Amended and Restated Credit Agreement dated November 30, 2021, as amended, among the Company and its affiliates,</w:t>
              </w:r>
            </w:hyperlink>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20" w:type="dxa"/>
            <w:vAlign w:val="bottom"/>
            <w:tcBorders>
              <w:top w:val="single" w:sz="8" w:color="0000EE"/>
            </w:tcBorders>
            <w:gridSpan w:val="13"/>
          </w:tcPr>
          <w:p>
            <w:pPr>
              <w:spacing w:after="0" w:line="150"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Wells Fargo Bank, National Association, as administrative agent, and the lender parties thereto (incorporated by reference to Exhibit 10.1 of the Current Report on Form 8-K</w:t>
              </w:r>
            </w:hyperlink>
          </w:p>
        </w:tc>
        <w:tc>
          <w:tcPr>
            <w:tcW w:w="20" w:type="dxa"/>
            <w:vAlign w:val="bottom"/>
          </w:tcPr>
          <w:p>
            <w:pPr>
              <w:spacing w:after="0"/>
              <w:rPr>
                <w:sz w:val="13"/>
                <w:szCs w:val="13"/>
                <w:color w:val="auto"/>
              </w:rPr>
            </w:pPr>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tcBorders>
              <w:top w:val="single" w:sz="8" w:color="0000EE"/>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filed on March 29, 2024)</w:t>
              </w:r>
            </w:hyperlink>
          </w:p>
        </w:tc>
        <w:tc>
          <w:tcPr>
            <w:tcW w:w="8340" w:type="dxa"/>
            <w:vAlign w:val="bottom"/>
            <w:tcBorders>
              <w:top w:val="single" w:sz="8" w:color="0000EE"/>
            </w:tcBorders>
            <w:gridSpan w:val="10"/>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10.19</w:t>
            </w:r>
          </w:p>
        </w:tc>
        <w:tc>
          <w:tcPr>
            <w:tcW w:w="60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Form of Performance Share Unit Agreement (2023 LTI) (incorporated by reference to Exhibit 10.8.2 to the Form 10-Q filed April 27, 2023).*</w:t>
              </w:r>
            </w:hyperlink>
          </w:p>
        </w:tc>
        <w:tc>
          <w:tcPr>
            <w:tcW w:w="2000" w:type="dxa"/>
            <w:vAlign w:val="bottom"/>
            <w:gridSpan w:val="8"/>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10.20</w:t>
            </w:r>
          </w:p>
        </w:tc>
        <w:tc>
          <w:tcPr>
            <w:tcW w:w="600" w:type="dxa"/>
            <w:vAlign w:val="bottom"/>
          </w:tcPr>
          <w:p>
            <w:pPr>
              <w:spacing w:after="0"/>
              <w:rPr>
                <w:sz w:val="24"/>
                <w:szCs w:val="24"/>
                <w:color w:val="auto"/>
              </w:rPr>
            </w:pPr>
          </w:p>
        </w:tc>
        <w:tc>
          <w:tcPr>
            <w:tcW w:w="10040" w:type="dxa"/>
            <w:vAlign w:val="bottom"/>
            <w:gridSpan w:val="14"/>
          </w:tcPr>
          <w:p>
            <w:pPr>
              <w:spacing w:after="0"/>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Form of Restricted Stock Unit Agreement (2023 LTI) (incorporated by reference to Exhibit 10.9.2 to the Form 10-Q filed April 27, 2023).*</w:t>
              </w:r>
            </w:hyperlink>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10.21</w:t>
            </w:r>
          </w:p>
        </w:tc>
        <w:tc>
          <w:tcPr>
            <w:tcW w:w="600" w:type="dxa"/>
            <w:vAlign w:val="bottom"/>
          </w:tcPr>
          <w:p>
            <w:pPr>
              <w:spacing w:after="0"/>
              <w:rPr>
                <w:sz w:val="24"/>
                <w:szCs w:val="24"/>
                <w:color w:val="auto"/>
              </w:rPr>
            </w:pPr>
          </w:p>
        </w:tc>
        <w:tc>
          <w:tcPr>
            <w:tcW w:w="10040" w:type="dxa"/>
            <w:vAlign w:val="bottom"/>
            <w:gridSpan w:val="14"/>
          </w:tcPr>
          <w:p>
            <w:pPr>
              <w:spacing w:after="0"/>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Letter Agreement dated April 26, 2023 between the Company and Todd A. Heavin (incorporated by reference to Exhibit 10.1 to the Form 8-K filed April 27, 2023).*</w:t>
              </w:r>
            </w:hyperlink>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10.22</w:t>
            </w:r>
          </w:p>
        </w:tc>
        <w:tc>
          <w:tcPr>
            <w:tcW w:w="60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Employment Offer Letters dated December 6, 2022 and October 25, 2023 from the Company to John Dunn (incorporated by reference to Exhibit 10.23 to the Form 10-K filed</w:t>
              </w:r>
            </w:hyperlink>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w w:val="99"/>
              </w:rPr>
            </w:pPr>
            <w:hyperlink r:id="rId143">
              <w:r>
                <w:rPr>
                  <w:rFonts w:ascii="Times New Roman" w:cs="Times New Roman" w:eastAsia="Times New Roman" w:hAnsi="Times New Roman"/>
                  <w:sz w:val="14"/>
                  <w:szCs w:val="14"/>
                  <w:color w:val="0000EE"/>
                  <w:w w:val="99"/>
                </w:rPr>
                <w:t>February 22, 2024).*</w:t>
              </w:r>
            </w:hyperlink>
          </w:p>
        </w:tc>
        <w:tc>
          <w:tcPr>
            <w:tcW w:w="8840" w:type="dxa"/>
            <w:vAlign w:val="bottom"/>
            <w:gridSpan w:val="13"/>
          </w:tcPr>
          <w:p>
            <w:pPr>
              <w:spacing w:after="0"/>
              <w:rPr>
                <w:sz w:val="13"/>
                <w:szCs w:val="13"/>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10.23</w:t>
            </w:r>
          </w:p>
        </w:tc>
        <w:tc>
          <w:tcPr>
            <w:tcW w:w="600" w:type="dxa"/>
            <w:vAlign w:val="bottom"/>
          </w:tcPr>
          <w:p>
            <w:pPr>
              <w:spacing w:after="0"/>
              <w:rPr>
                <w:sz w:val="24"/>
                <w:szCs w:val="24"/>
                <w:color w:val="auto"/>
              </w:rPr>
            </w:pPr>
          </w:p>
        </w:tc>
        <w:tc>
          <w:tcPr>
            <w:tcW w:w="93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144">
              <w:r>
                <w:rPr>
                  <w:rFonts w:ascii="Times New Roman" w:cs="Times New Roman" w:eastAsia="Times New Roman" w:hAnsi="Times New Roman"/>
                  <w:sz w:val="14"/>
                  <w:szCs w:val="14"/>
                  <w:color w:val="0000EE"/>
                </w:rPr>
                <w:t>Employment Offer Letter dated May 20, 2024 from the Company to Mr. Farmer (incorporated by reference to Exhibit 10.30 to the Form 10-Q filed July 25, 2024).*</w:t>
              </w:r>
            </w:hyperlink>
          </w:p>
        </w:tc>
        <w:tc>
          <w:tcPr>
            <w:tcW w:w="680" w:type="dxa"/>
            <w:vAlign w:val="bottom"/>
            <w:gridSpan w:val="4"/>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10.24</w:t>
            </w:r>
          </w:p>
        </w:tc>
        <w:tc>
          <w:tcPr>
            <w:tcW w:w="600" w:type="dxa"/>
            <w:vAlign w:val="bottom"/>
          </w:tcPr>
          <w:p>
            <w:pPr>
              <w:spacing w:after="0"/>
              <w:rPr>
                <w:sz w:val="24"/>
                <w:szCs w:val="24"/>
                <w:color w:val="auto"/>
              </w:rPr>
            </w:pPr>
          </w:p>
        </w:tc>
        <w:tc>
          <w:tcPr>
            <w:tcW w:w="926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Employment Offer Letter dated June 3, 2024 from the Company to Mr. Sherbin (incorporated by reference to Exhibit 10.31 to the Form 10-Q filed July 25, 2024).*</w:t>
              </w:r>
            </w:hyperlink>
          </w:p>
        </w:tc>
        <w:tc>
          <w:tcPr>
            <w:tcW w:w="780" w:type="dxa"/>
            <w:vAlign w:val="bottom"/>
            <w:gridSpan w:val="5"/>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10.25</w:t>
            </w:r>
          </w:p>
        </w:tc>
        <w:tc>
          <w:tcPr>
            <w:tcW w:w="600" w:type="dxa"/>
            <w:vAlign w:val="bottom"/>
          </w:tcPr>
          <w:p>
            <w:pPr>
              <w:spacing w:after="0"/>
              <w:rPr>
                <w:sz w:val="24"/>
                <w:szCs w:val="24"/>
                <w:color w:val="auto"/>
              </w:rPr>
            </w:pPr>
          </w:p>
        </w:tc>
        <w:tc>
          <w:tcPr>
            <w:tcW w:w="974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Employment Offer Letter dated June 2, 2020 from the Company to Colin Hindman (incorporated by reference to Exhibit 10.26 to the Form 10-K filed February 22, 2024).*</w:t>
              </w:r>
            </w:hyperlink>
          </w:p>
        </w:tc>
        <w:tc>
          <w:tcPr>
            <w:tcW w:w="300" w:type="dxa"/>
            <w:vAlign w:val="bottom"/>
            <w:gridSpan w:val="3"/>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10.26</w:t>
            </w:r>
          </w:p>
        </w:tc>
        <w:tc>
          <w:tcPr>
            <w:tcW w:w="600" w:type="dxa"/>
            <w:vAlign w:val="bottom"/>
          </w:tcPr>
          <w:p>
            <w:pPr>
              <w:spacing w:after="0"/>
              <w:rPr>
                <w:sz w:val="24"/>
                <w:szCs w:val="24"/>
                <w:color w:val="auto"/>
              </w:rPr>
            </w:pPr>
          </w:p>
        </w:tc>
        <w:tc>
          <w:tcPr>
            <w:tcW w:w="912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Transition and Separation Agreement dated June 7, 2023 with Daryl M. Adams (incorporated by reference to Exhibit 10.3 to the Form 10-Q filed July 27, 2023).</w:t>
              </w:r>
            </w:hyperlink>
          </w:p>
        </w:tc>
        <w:tc>
          <w:tcPr>
            <w:tcW w:w="920" w:type="dxa"/>
            <w:vAlign w:val="bottom"/>
            <w:gridSpan w:val="6"/>
          </w:tcPr>
          <w:p>
            <w:pPr>
              <w:spacing w:after="0"/>
              <w:rPr>
                <w:sz w:val="24"/>
                <w:szCs w:val="24"/>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10.27</w:t>
            </w:r>
          </w:p>
        </w:tc>
        <w:tc>
          <w:tcPr>
            <w:tcW w:w="60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Restricted Stock Unit Agreement dated as of September 1, 2023 (under The Shyft Group, Inc. Stock Incentive Plan (as amended and restated effective May 17, 2023)), between</w:t>
              </w:r>
            </w:hyperlink>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900" w:type="dxa"/>
            <w:vAlign w:val="bottom"/>
            <w:tcBorders>
              <w:bottom w:val="single" w:sz="8" w:color="0000EE"/>
            </w:tcBorders>
            <w:gridSpan w:val="3"/>
          </w:tcPr>
          <w:p>
            <w:pPr>
              <w:spacing w:after="0" w:line="150" w:lineRule="exact"/>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the Company and Paul Mascarenas (incorporated by reference to Exhibit 10.1 to the Form 10-Q filed October 26, 2023).*</w:t>
              </w:r>
            </w:hyperlink>
          </w:p>
        </w:tc>
        <w:tc>
          <w:tcPr>
            <w:tcW w:w="3140" w:type="dxa"/>
            <w:vAlign w:val="bottom"/>
            <w:gridSpan w:val="11"/>
          </w:tcPr>
          <w:p>
            <w:pPr>
              <w:spacing w:after="0"/>
              <w:rPr>
                <w:sz w:val="13"/>
                <w:szCs w:val="13"/>
                <w:color w:val="auto"/>
              </w:rPr>
            </w:pPr>
          </w:p>
        </w:tc>
      </w:tr>
      <w:tr>
        <w:trPr>
          <w:trHeight w:val="320"/>
        </w:trPr>
        <w:tc>
          <w:tcPr>
            <w:tcW w:w="6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10.28</w:t>
            </w:r>
          </w:p>
        </w:tc>
        <w:tc>
          <w:tcPr>
            <w:tcW w:w="60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149">
              <w:r>
                <w:rPr>
                  <w:rFonts w:ascii="Times New Roman" w:cs="Times New Roman" w:eastAsia="Times New Roman" w:hAnsi="Times New Roman"/>
                  <w:sz w:val="14"/>
                  <w:szCs w:val="14"/>
                  <w:color w:val="0000EE"/>
                </w:rPr>
                <w:t>Performance Share Unit Agreement dated as of November 24, 2023 (under The Shyft Group, Inc. Stock Incentive Plan (as amended and restated effective May 17, 2023))</w:t>
              </w:r>
            </w:hyperlink>
          </w:p>
        </w:tc>
      </w:tr>
      <w:tr>
        <w:trPr>
          <w:trHeight w:val="150"/>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40" w:type="dxa"/>
            <w:vAlign w:val="bottom"/>
            <w:gridSpan w:val="14"/>
          </w:tcPr>
          <w:p>
            <w:pPr>
              <w:spacing w:after="0" w:line="150" w:lineRule="exact"/>
              <w:rPr>
                <w:rFonts w:ascii="Times New Roman" w:cs="Times New Roman" w:eastAsia="Times New Roman" w:hAnsi="Times New Roman"/>
                <w:sz w:val="14"/>
                <w:szCs w:val="14"/>
                <w:color w:val="0000EE"/>
              </w:rPr>
            </w:pPr>
            <w:hyperlink r:id="rId149">
              <w:r>
                <w:rPr>
                  <w:rFonts w:ascii="Times New Roman" w:cs="Times New Roman" w:eastAsia="Times New Roman" w:hAnsi="Times New Roman"/>
                  <w:sz w:val="14"/>
                  <w:szCs w:val="14"/>
                  <w:color w:val="0000EE"/>
                </w:rPr>
                <w:t>between the Company and John Dunn (incorporated by reference to Exhibit 10.29 to the Form 10-K filed February 22, 2024).*</w:t>
              </w:r>
            </w:hyperlink>
          </w:p>
        </w:tc>
      </w:tr>
      <w:tr>
        <w:trPr>
          <w:trHeight w:val="351"/>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00" w:type="dxa"/>
            <w:vAlign w:val="bottom"/>
            <w:tcBorders>
              <w:top w:val="single" w:sz="8" w:color="0000EE"/>
            </w:tcBorders>
            <w:gridSpan w:val="3"/>
          </w:tcPr>
          <w:p>
            <w:pPr>
              <w:ind w:left="4340"/>
              <w:spacing w:after="0"/>
              <w:rPr>
                <w:sz w:val="20"/>
                <w:szCs w:val="20"/>
                <w:color w:val="auto"/>
              </w:rPr>
            </w:pPr>
            <w:r>
              <w:rPr>
                <w:rFonts w:ascii="Times New Roman" w:cs="Times New Roman" w:eastAsia="Times New Roman" w:hAnsi="Times New Roman"/>
                <w:sz w:val="14"/>
                <w:szCs w:val="14"/>
                <w:color w:val="auto"/>
              </w:rPr>
              <w:t>81</w:t>
            </w:r>
          </w:p>
        </w:tc>
        <w:tc>
          <w:tcPr>
            <w:tcW w:w="3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677" w:right="319" w:bottom="1440" w:gutter="0" w:footer="0" w:header="0"/>
        </w:sectPr>
      </w:pPr>
    </w:p>
    <w:bookmarkStart w:id="82" w:name="page83"/>
    <w:bookmarkEnd w:id="82"/>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0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Exhibit</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060" w:type="dxa"/>
            <w:vAlign w:val="bottom"/>
            <w:gridSpan w:val="2"/>
          </w:tcPr>
          <w:p>
            <w:pPr>
              <w:jc w:val="center"/>
              <w:ind w:right="600"/>
              <w:spacing w:after="0" w:line="153" w:lineRule="exact"/>
              <w:rPr>
                <w:sz w:val="20"/>
                <w:szCs w:val="20"/>
                <w:color w:val="auto"/>
              </w:rPr>
            </w:pPr>
            <w:r>
              <w:rPr>
                <w:rFonts w:ascii="Times New Roman" w:cs="Times New Roman" w:eastAsia="Times New Roman" w:hAnsi="Times New Roman"/>
                <w:sz w:val="14"/>
                <w:szCs w:val="14"/>
                <w:color w:val="auto"/>
              </w:rPr>
              <w:t>Number</w:t>
            </w: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46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10.29</w:t>
            </w:r>
          </w:p>
        </w:tc>
        <w:tc>
          <w:tcPr>
            <w:tcW w:w="600" w:type="dxa"/>
            <w:vAlign w:val="bottom"/>
          </w:tcPr>
          <w:p>
            <w:pPr>
              <w:spacing w:after="0"/>
              <w:rPr>
                <w:sz w:val="13"/>
                <w:szCs w:val="13"/>
                <w:color w:val="auto"/>
              </w:rPr>
            </w:pPr>
          </w:p>
        </w:tc>
        <w:tc>
          <w:tcPr>
            <w:tcW w:w="8040" w:type="dxa"/>
            <w:vAlign w:val="bottom"/>
            <w:tcBorders>
              <w:bottom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Form of Performance Share Unit Agreement (2024 LTI) (incorporated by reference to Exhibit 10.8.3 to the Form 10-Q filed April 25, 2024).*</w:t>
              </w:r>
            </w:hyperlink>
          </w:p>
        </w:tc>
        <w:tc>
          <w:tcPr>
            <w:tcW w:w="1740" w:type="dxa"/>
            <w:vAlign w:val="bottom"/>
            <w:gridSpan w:val="5"/>
          </w:tcPr>
          <w:p>
            <w:pPr>
              <w:spacing w:after="0"/>
              <w:rPr>
                <w:sz w:val="13"/>
                <w:szCs w:val="13"/>
                <w:color w:val="auto"/>
              </w:rPr>
            </w:pPr>
          </w:p>
        </w:tc>
      </w:tr>
      <w:tr>
        <w:trPr>
          <w:trHeight w:val="320"/>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w:t>
            </w:r>
          </w:p>
        </w:tc>
        <w:tc>
          <w:tcPr>
            <w:tcW w:w="600" w:type="dxa"/>
            <w:vAlign w:val="bottom"/>
          </w:tcPr>
          <w:p>
            <w:pPr>
              <w:spacing w:after="0"/>
              <w:rPr>
                <w:sz w:val="24"/>
                <w:szCs w:val="24"/>
                <w:color w:val="auto"/>
              </w:rPr>
            </w:pPr>
          </w:p>
        </w:tc>
        <w:tc>
          <w:tcPr>
            <w:tcW w:w="9780" w:type="dxa"/>
            <w:vAlign w:val="bottom"/>
            <w:gridSpan w:val="11"/>
          </w:tcPr>
          <w:p>
            <w:pPr>
              <w:spacing w:after="0"/>
              <w:rPr>
                <w:rFonts w:ascii="Times New Roman" w:cs="Times New Roman" w:eastAsia="Times New Roman" w:hAnsi="Times New Roman"/>
                <w:sz w:val="14"/>
                <w:szCs w:val="14"/>
                <w:color w:val="0000EE"/>
              </w:rPr>
            </w:pPr>
            <w:hyperlink r:id="rId151">
              <w:r>
                <w:rPr>
                  <w:rFonts w:ascii="Times New Roman" w:cs="Times New Roman" w:eastAsia="Times New Roman" w:hAnsi="Times New Roman"/>
                  <w:sz w:val="14"/>
                  <w:szCs w:val="14"/>
                  <w:color w:val="0000EE"/>
                </w:rPr>
                <w:t>Form of Restricted Stock Unit Agreement (2024 LTI) (incorporated by reference to Exhibit 10.9.3 to the Form 10-Q filed April 25, 2024).*</w:t>
              </w:r>
            </w:hyperlink>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0"/>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600" w:type="dxa"/>
            <w:vAlign w:val="bottom"/>
          </w:tcPr>
          <w:p>
            <w:pPr>
              <w:spacing w:after="0"/>
              <w:rPr>
                <w:sz w:val="24"/>
                <w:szCs w:val="24"/>
                <w:color w:val="auto"/>
              </w:rPr>
            </w:pPr>
          </w:p>
        </w:tc>
        <w:tc>
          <w:tcPr>
            <w:tcW w:w="964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Transition and Separation Agreement dated as of June 3, 2024 with Mr. Colin Hindman (incorporated by reference to Exhibit 10.32 to the Form 10-Q filed July 25, 2024*</w:t>
              </w:r>
            </w:hyperlink>
          </w:p>
        </w:tc>
        <w:tc>
          <w:tcPr>
            <w:tcW w:w="140" w:type="dxa"/>
            <w:vAlign w:val="bottom"/>
            <w:gridSpan w:val="3"/>
          </w:tcPr>
          <w:p>
            <w:pPr>
              <w:spacing w:after="0"/>
              <w:rPr>
                <w:sz w:val="24"/>
                <w:szCs w:val="24"/>
                <w:color w:val="auto"/>
              </w:rPr>
            </w:pPr>
          </w:p>
        </w:tc>
      </w:tr>
      <w:tr>
        <w:trPr>
          <w:trHeight w:val="320"/>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600" w:type="dxa"/>
            <w:vAlign w:val="bottom"/>
          </w:tcPr>
          <w:p>
            <w:pPr>
              <w:spacing w:after="0"/>
              <w:rPr>
                <w:sz w:val="24"/>
                <w:szCs w:val="24"/>
                <w:color w:val="auto"/>
              </w:rPr>
            </w:pPr>
          </w:p>
        </w:tc>
        <w:tc>
          <w:tcPr>
            <w:tcW w:w="978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Relationship Agreement, dated as of December 16, 2024, by and among Aebi Schmidt, PCS Holding AG and Peter Spuhler (incorporated by reference to Exhibit 10.1 to the</w:t>
              </w:r>
            </w:hyperlink>
          </w:p>
        </w:tc>
      </w:tr>
      <w:tr>
        <w:trPr>
          <w:trHeight w:val="150"/>
        </w:trPr>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780" w:type="dxa"/>
            <w:vAlign w:val="bottom"/>
            <w:gridSpan w:val="11"/>
          </w:tcPr>
          <w:p>
            <w:pPr>
              <w:spacing w:after="0" w:line="150" w:lineRule="exact"/>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Form 8-K filed December 20, 2024).</w:t>
              </w:r>
            </w:hyperlink>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0"/>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600" w:type="dxa"/>
            <w:vAlign w:val="bottom"/>
          </w:tcPr>
          <w:p>
            <w:pPr>
              <w:spacing w:after="0"/>
              <w:rPr>
                <w:sz w:val="24"/>
                <w:szCs w:val="24"/>
                <w:color w:val="auto"/>
              </w:rPr>
            </w:pPr>
          </w:p>
        </w:tc>
        <w:tc>
          <w:tcPr>
            <w:tcW w:w="952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Relationship Agreement, dated as of December 16, 2024, by and among Aebi Schmidt and Gebuka AG (incorporated by reference to Exhibit 10.2 to the Form 8-K filed</w:t>
              </w:r>
            </w:hyperlink>
          </w:p>
        </w:tc>
        <w:tc>
          <w:tcPr>
            <w:tcW w:w="260" w:type="dxa"/>
            <w:vAlign w:val="bottom"/>
            <w:gridSpan w:val="4"/>
          </w:tcPr>
          <w:p>
            <w:pPr>
              <w:spacing w:after="0"/>
              <w:rPr>
                <w:sz w:val="24"/>
                <w:szCs w:val="24"/>
                <w:color w:val="auto"/>
              </w:rPr>
            </w:pPr>
          </w:p>
        </w:tc>
      </w:tr>
      <w:tr>
        <w:trPr>
          <w:trHeight w:val="150"/>
        </w:trPr>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w w:val="99"/>
              </w:rPr>
            </w:pPr>
            <w:hyperlink r:id="rId154">
              <w:r>
                <w:rPr>
                  <w:rFonts w:ascii="Times New Roman" w:cs="Times New Roman" w:eastAsia="Times New Roman" w:hAnsi="Times New Roman"/>
                  <w:sz w:val="14"/>
                  <w:szCs w:val="14"/>
                  <w:color w:val="0000EE"/>
                  <w:w w:val="99"/>
                </w:rPr>
                <w:t>December 20, 2024).</w:t>
              </w:r>
            </w:hyperlink>
          </w:p>
        </w:tc>
        <w:tc>
          <w:tcPr>
            <w:tcW w:w="8580" w:type="dxa"/>
            <w:vAlign w:val="bottom"/>
            <w:gridSpan w:val="10"/>
          </w:tcPr>
          <w:p>
            <w:pPr>
              <w:spacing w:after="0"/>
              <w:rPr>
                <w:sz w:val="13"/>
                <w:szCs w:val="13"/>
                <w:color w:val="auto"/>
              </w:rPr>
            </w:pPr>
          </w:p>
        </w:tc>
      </w:tr>
      <w:tr>
        <w:trPr>
          <w:trHeight w:val="320"/>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10.34</w:t>
            </w:r>
          </w:p>
        </w:tc>
        <w:tc>
          <w:tcPr>
            <w:tcW w:w="600" w:type="dxa"/>
            <w:vAlign w:val="bottom"/>
          </w:tcPr>
          <w:p>
            <w:pPr>
              <w:spacing w:after="0"/>
              <w:rPr>
                <w:sz w:val="24"/>
                <w:szCs w:val="24"/>
                <w:color w:val="auto"/>
              </w:rPr>
            </w:pPr>
          </w:p>
        </w:tc>
        <w:tc>
          <w:tcPr>
            <w:tcW w:w="9780" w:type="dxa"/>
            <w:vAlign w:val="bottom"/>
            <w:gridSpan w:val="11"/>
          </w:tcPr>
          <w:p>
            <w:pPr>
              <w:spacing w:after="0"/>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Relationship Agreement, dated as of December 16, 2024, by and among Aebi Schmidt and Barend Fruithof (incorporated by reference to Exhibit 10.3 to the Form 8-K filed</w:t>
              </w:r>
            </w:hyperlink>
          </w:p>
        </w:tc>
      </w:tr>
      <w:tr>
        <w:trPr>
          <w:trHeight w:val="150"/>
        </w:trPr>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w w:val="99"/>
              </w:rPr>
            </w:pPr>
            <w:hyperlink r:id="rId155">
              <w:r>
                <w:rPr>
                  <w:rFonts w:ascii="Times New Roman" w:cs="Times New Roman" w:eastAsia="Times New Roman" w:hAnsi="Times New Roman"/>
                  <w:sz w:val="14"/>
                  <w:szCs w:val="14"/>
                  <w:color w:val="0000EE"/>
                  <w:w w:val="99"/>
                </w:rPr>
                <w:t>December 20, 2024).</w:t>
              </w:r>
            </w:hyperlink>
          </w:p>
        </w:tc>
        <w:tc>
          <w:tcPr>
            <w:tcW w:w="8540" w:type="dxa"/>
            <w:vAlign w:val="bottom"/>
            <w:tcBorders>
              <w:top w:val="single" w:sz="8" w:color="0000EE"/>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20"/>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600" w:type="dxa"/>
            <w:vAlign w:val="bottom"/>
          </w:tcPr>
          <w:p>
            <w:pPr>
              <w:spacing w:after="0"/>
              <w:rPr>
                <w:sz w:val="24"/>
                <w:szCs w:val="24"/>
                <w:color w:val="auto"/>
              </w:rPr>
            </w:pPr>
          </w:p>
        </w:tc>
        <w:tc>
          <w:tcPr>
            <w:tcW w:w="97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Support Agreement, by and among The Shyft Group, Inc. and certain shareholders of Aebi Schmidt Holding AG (incorporated by reference to Exhibit 10.4 to the Form 8-K</w:t>
              </w:r>
            </w:hyperlink>
          </w:p>
        </w:tc>
        <w:tc>
          <w:tcPr>
            <w:tcW w:w="20" w:type="dxa"/>
            <w:vAlign w:val="bottom"/>
          </w:tcPr>
          <w:p>
            <w:pPr>
              <w:spacing w:after="0"/>
              <w:rPr>
                <w:sz w:val="24"/>
                <w:szCs w:val="24"/>
                <w:color w:val="auto"/>
              </w:rPr>
            </w:pPr>
          </w:p>
        </w:tc>
      </w:tr>
      <w:tr>
        <w:trPr>
          <w:trHeight w:val="150"/>
        </w:trPr>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780" w:type="dxa"/>
            <w:vAlign w:val="bottom"/>
            <w:gridSpan w:val="11"/>
          </w:tcPr>
          <w:p>
            <w:pPr>
              <w:spacing w:after="0" w:line="150"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filed December 20, 2024).**</w:t>
              </w:r>
            </w:hyperlink>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r>
      <w:tr>
        <w:trPr>
          <w:trHeight w:val="320"/>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60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Employment Offer Letter dated December 22, 2024 from the Company to Scott Ocholik.*</w:t>
            </w: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6" w:lineRule="exact"/>
        <w:rPr>
          <w:sz w:val="20"/>
          <w:szCs w:val="20"/>
          <w:color w:val="auto"/>
        </w:rPr>
      </w:pPr>
    </w:p>
    <w:p>
      <w:pPr>
        <w:ind w:left="1240" w:hanging="902"/>
        <w:spacing w:after="0"/>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Insider Trading Policy</w:t>
      </w:r>
    </w:p>
    <w:p>
      <w:pPr>
        <w:spacing w:after="0" w:line="179" w:lineRule="exact"/>
        <w:rPr>
          <w:sz w:val="20"/>
          <w:szCs w:val="20"/>
          <w:color w:val="auto"/>
        </w:rPr>
      </w:pPr>
    </w:p>
    <w:p>
      <w:pPr>
        <w:ind w:left="1240" w:hanging="902"/>
        <w:spacing w:after="0"/>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Subsidiaries of Registrant</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9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97"/>
              </w:rPr>
              <w:t>23.1</w:t>
            </w:r>
          </w:p>
        </w:tc>
        <w:tc>
          <w:tcPr>
            <w:tcW w:w="4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Consent of Deloitte &amp; Touche LLP, Independent Registered Public Accounting firm.</w:t>
            </w:r>
          </w:p>
        </w:tc>
        <w:tc>
          <w:tcPr>
            <w:tcW w:w="820" w:type="dxa"/>
            <w:vAlign w:val="bottom"/>
            <w:gridSpan w:val="2"/>
          </w:tcPr>
          <w:p>
            <w:pPr>
              <w:spacing w:after="0"/>
              <w:rPr>
                <w:sz w:val="13"/>
                <w:szCs w:val="13"/>
                <w:color w:val="auto"/>
              </w:rPr>
            </w:pPr>
          </w:p>
        </w:tc>
      </w:tr>
      <w:tr>
        <w:trPr>
          <w:trHeight w:val="320"/>
        </w:trPr>
        <w:tc>
          <w:tcPr>
            <w:tcW w:w="9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97"/>
              </w:rPr>
              <w:t>31.1</w:t>
            </w:r>
          </w:p>
        </w:tc>
        <w:tc>
          <w:tcPr>
            <w:tcW w:w="5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Certification of Chief Executive Officer pursuant to Section 302 of the Sarbanes-Oxley Act.</w:t>
            </w:r>
          </w:p>
        </w:tc>
        <w:tc>
          <w:tcPr>
            <w:tcW w:w="400" w:type="dxa"/>
            <w:vAlign w:val="bottom"/>
          </w:tcPr>
          <w:p>
            <w:pPr>
              <w:spacing w:after="0"/>
              <w:rPr>
                <w:sz w:val="24"/>
                <w:szCs w:val="24"/>
                <w:color w:val="auto"/>
              </w:rPr>
            </w:pPr>
          </w:p>
        </w:tc>
      </w:tr>
      <w:tr>
        <w:trPr>
          <w:trHeight w:val="320"/>
        </w:trPr>
        <w:tc>
          <w:tcPr>
            <w:tcW w:w="9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97"/>
              </w:rPr>
              <w:t>31.2</w:t>
            </w:r>
          </w:p>
        </w:tc>
        <w:tc>
          <w:tcPr>
            <w:tcW w:w="5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Certification of Interim Chief Financial Officer pursuant to Section 302 of the Sarbanes-Oxley Act.</w:t>
            </w:r>
          </w:p>
        </w:tc>
      </w:tr>
    </w:tbl>
    <w:p>
      <w:pPr>
        <w:spacing w:after="0" w:line="176" w:lineRule="exact"/>
        <w:rPr>
          <w:sz w:val="20"/>
          <w:szCs w:val="20"/>
          <w:color w:val="auto"/>
        </w:rPr>
      </w:pPr>
    </w:p>
    <w:p>
      <w:pPr>
        <w:ind w:left="1220" w:hanging="877"/>
        <w:spacing w:after="0"/>
        <w:tabs>
          <w:tab w:leader="none" w:pos="1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Certification pursuant to 18 U.S.C. § 1350.</w:t>
      </w:r>
    </w:p>
    <w:p>
      <w:pPr>
        <w:spacing w:after="0" w:line="179" w:lineRule="exact"/>
        <w:rPr>
          <w:sz w:val="20"/>
          <w:szCs w:val="20"/>
          <w:color w:val="auto"/>
        </w:rPr>
      </w:pPr>
    </w:p>
    <w:p>
      <w:pPr>
        <w:ind w:left="1220" w:hanging="877"/>
        <w:spacing w:after="0"/>
        <w:tabs>
          <w:tab w:leader="none" w:pos="1220" w:val="left"/>
        </w:tabs>
        <w:numPr>
          <w:ilvl w:val="0"/>
          <w:numId w:val="18"/>
        </w:numPr>
        <w:rPr>
          <w:rFonts w:ascii="Times New Roman" w:cs="Times New Roman" w:eastAsia="Times New Roman" w:hAnsi="Times New Roman"/>
          <w:sz w:val="14"/>
          <w:szCs w:val="14"/>
          <w:u w:val="single" w:color="auto"/>
          <w:color w:val="0000EE"/>
        </w:rPr>
      </w:pPr>
      <w:hyperlink r:id="rId157">
        <w:r>
          <w:rPr>
            <w:rFonts w:ascii="Times New Roman" w:cs="Times New Roman" w:eastAsia="Times New Roman" w:hAnsi="Times New Roman"/>
            <w:sz w:val="14"/>
            <w:szCs w:val="14"/>
            <w:u w:val="single" w:color="auto"/>
            <w:color w:val="0000EE"/>
          </w:rPr>
          <w:t>Shyft Group Compensation Clawback Policy (incorporated by reference to Exhibit 97 to the Form 10-K filed February 22, 2024)</w:t>
        </w:r>
      </w:hyperlink>
    </w:p>
    <w:p>
      <w:pPr>
        <w:spacing w:after="0" w:line="17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2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101.INS</w:t>
            </w:r>
          </w:p>
        </w:tc>
        <w:tc>
          <w:tcPr>
            <w:tcW w:w="10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 Inline XBRL document)</w:t>
            </w:r>
          </w:p>
        </w:tc>
      </w:tr>
      <w:tr>
        <w:trPr>
          <w:trHeight w:val="340"/>
        </w:trPr>
        <w:tc>
          <w:tcPr>
            <w:tcW w:w="82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101.SCH</w:t>
            </w:r>
          </w:p>
        </w:tc>
        <w:tc>
          <w:tcPr>
            <w:tcW w:w="10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340"/>
        </w:trPr>
        <w:tc>
          <w:tcPr>
            <w:tcW w:w="82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101.CAL</w:t>
            </w:r>
          </w:p>
        </w:tc>
        <w:tc>
          <w:tcPr>
            <w:tcW w:w="10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bl>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contract or compensatory plan or arrangement.</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**Exhibits, annexes and schedules have been omitted pursuant to Item 601(a)(5) of Regulation S-K. Shyft hereby agrees to furnish supplementally a copy of any omitted schedule to the Securities and Exchange Commission upon request.</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will furnish a copy of any exhibit listed above to any shareholder of the Company without charge upon written request to: Chief Financial Officer, The Shyft Group, Inc., 41280 Bridge Street, Novi, Michigan 48375.</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14"/>
          <w:szCs w:val="14"/>
          <w:color w:val="auto"/>
        </w:rPr>
        <w:t>Exhibit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6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4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34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340"/>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4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156" w:lineRule="exact"/>
        <w:rPr>
          <w:sz w:val="20"/>
          <w:szCs w:val="20"/>
          <w:color w:val="auto"/>
        </w:rPr>
      </w:pPr>
    </w:p>
    <w:p>
      <w:pPr>
        <w:ind w:left="1240" w:hanging="932"/>
        <w:spacing w:after="0"/>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and included in Exhibit 101)</w:t>
      </w:r>
    </w:p>
    <w:p>
      <w:pPr>
        <w:spacing w:after="0" w:line="178" w:lineRule="exact"/>
        <w:rPr>
          <w:rFonts w:ascii="Times New Roman" w:cs="Times New Roman" w:eastAsia="Times New Roman" w:hAnsi="Times New Roman"/>
          <w:sz w:val="14"/>
          <w:szCs w:val="14"/>
          <w:color w:val="auto"/>
        </w:rPr>
      </w:pPr>
    </w:p>
    <w:p>
      <w:pPr>
        <w:ind w:right="7779"/>
        <w:spacing w:after="0" w:line="39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Item 16. </w:t>
      </w:r>
      <w:r>
        <w:rPr>
          <w:rFonts w:ascii="Times New Roman" w:cs="Times New Roman" w:eastAsia="Times New Roman" w:hAnsi="Times New Roman"/>
          <w:sz w:val="14"/>
          <w:szCs w:val="14"/>
          <w:u w:val="single" w:color="auto"/>
          <w:color w:val="auto"/>
        </w:rPr>
        <w:t>Form 10-K Summary</w:t>
      </w:r>
      <w:r>
        <w:rPr>
          <w:rFonts w:ascii="Times New Roman" w:cs="Times New Roman" w:eastAsia="Times New Roman" w:hAnsi="Times New Roman"/>
          <w:sz w:val="14"/>
          <w:szCs w:val="14"/>
          <w:color w:val="auto"/>
        </w:rPr>
        <w:t xml:space="preserve"> None.</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6153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59"/>
          </w:cols>
          <w:pgMar w:left="300" w:top="486" w:right="1440"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color w:val="auto"/>
        </w:rPr>
        <w:t>SIGNATURES</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5"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566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THE SHYFT GROUP, INC.</w:t>
            </w:r>
          </w:p>
        </w:tc>
      </w:tr>
      <w:tr>
        <w:trPr>
          <w:trHeight w:val="34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February 20, 2025</w:t>
            </w:r>
          </w:p>
        </w:tc>
        <w:tc>
          <w:tcPr>
            <w:tcW w:w="566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By  /s/ Scott M. Ocholik</w:t>
            </w:r>
          </w:p>
        </w:tc>
      </w:tr>
      <w:tr>
        <w:trPr>
          <w:trHeight w:val="146"/>
        </w:trPr>
        <w:tc>
          <w:tcPr>
            <w:tcW w:w="2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6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Scott M. Ocholik</w:t>
            </w:r>
          </w:p>
        </w:tc>
      </w:tr>
      <w:tr>
        <w:trPr>
          <w:trHeight w:val="170"/>
        </w:trPr>
        <w:tc>
          <w:tcPr>
            <w:tcW w:w="2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Interim Chief Financial Officer and Vice President, Chief</w:t>
            </w:r>
          </w:p>
        </w:tc>
      </w:tr>
      <w:tr>
        <w:trPr>
          <w:trHeight w:val="170"/>
        </w:trPr>
        <w:tc>
          <w:tcPr>
            <w:tcW w:w="2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Accounting Officer and Corporate Controller (Principal Financial</w:t>
            </w:r>
          </w:p>
        </w:tc>
      </w:tr>
      <w:tr>
        <w:trPr>
          <w:trHeight w:val="184"/>
        </w:trPr>
        <w:tc>
          <w:tcPr>
            <w:tcW w:w="26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Officer and Principal Accounting Officer)</w:t>
            </w:r>
          </w:p>
        </w:tc>
      </w:tr>
    </w:tbl>
    <w:p>
      <w:pPr>
        <w:spacing w:after="0" w:line="15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John Dunn</w:t>
            </w:r>
          </w:p>
        </w:tc>
        <w:tc>
          <w:tcPr>
            <w:tcW w:w="2080" w:type="dxa"/>
            <w:vAlign w:val="bottom"/>
          </w:tcPr>
          <w:p>
            <w:pPr>
              <w:spacing w:after="0"/>
              <w:rPr>
                <w:sz w:val="16"/>
                <w:szCs w:val="16"/>
                <w:color w:val="auto"/>
              </w:rPr>
            </w:pPr>
          </w:p>
        </w:tc>
      </w:tr>
      <w:tr>
        <w:trPr>
          <w:trHeight w:val="146"/>
        </w:trPr>
        <w:tc>
          <w:tcPr>
            <w:tcW w:w="3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John Dunn</w:t>
            </w:r>
          </w:p>
        </w:tc>
        <w:tc>
          <w:tcPr>
            <w:tcW w:w="2080" w:type="dxa"/>
            <w:vAlign w:val="bottom"/>
          </w:tcPr>
          <w:p>
            <w:pPr>
              <w:spacing w:after="0"/>
              <w:rPr>
                <w:sz w:val="12"/>
                <w:szCs w:val="12"/>
                <w:color w:val="auto"/>
              </w:rPr>
            </w:pPr>
          </w:p>
        </w:tc>
      </w:tr>
      <w:tr>
        <w:trPr>
          <w:trHeight w:val="170"/>
        </w:trPr>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Director, President and Chief Executive Officer</w:t>
            </w:r>
          </w:p>
        </w:tc>
        <w:tc>
          <w:tcPr>
            <w:tcW w:w="2080" w:type="dxa"/>
            <w:vAlign w:val="bottom"/>
          </w:tcPr>
          <w:p>
            <w:pPr>
              <w:spacing w:after="0"/>
              <w:rPr>
                <w:sz w:val="14"/>
                <w:szCs w:val="14"/>
                <w:color w:val="auto"/>
              </w:rPr>
            </w:pPr>
          </w:p>
        </w:tc>
      </w:tr>
      <w:tr>
        <w:trPr>
          <w:trHeight w:val="184"/>
        </w:trPr>
        <w:tc>
          <w:tcPr>
            <w:tcW w:w="35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080" w:type="dxa"/>
            <w:vAlign w:val="bottom"/>
          </w:tcPr>
          <w:p>
            <w:pPr>
              <w:spacing w:after="0"/>
              <w:rPr>
                <w:sz w:val="16"/>
                <w:szCs w:val="16"/>
                <w:color w:val="auto"/>
              </w:rPr>
            </w:pPr>
          </w:p>
        </w:tc>
      </w:tr>
      <w:tr>
        <w:trPr>
          <w:trHeight w:val="340"/>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Scott M. Ocholik</w:t>
            </w:r>
          </w:p>
        </w:tc>
        <w:tc>
          <w:tcPr>
            <w:tcW w:w="2080" w:type="dxa"/>
            <w:vAlign w:val="bottom"/>
          </w:tcPr>
          <w:p>
            <w:pPr>
              <w:spacing w:after="0"/>
              <w:rPr>
                <w:sz w:val="24"/>
                <w:szCs w:val="24"/>
                <w:color w:val="auto"/>
              </w:rPr>
            </w:pPr>
          </w:p>
        </w:tc>
      </w:tr>
      <w:tr>
        <w:trPr>
          <w:trHeight w:val="146"/>
        </w:trPr>
        <w:tc>
          <w:tcPr>
            <w:tcW w:w="3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Scott M. Ocholik</w:t>
            </w:r>
          </w:p>
        </w:tc>
        <w:tc>
          <w:tcPr>
            <w:tcW w:w="2080" w:type="dxa"/>
            <w:vAlign w:val="bottom"/>
          </w:tcPr>
          <w:p>
            <w:pPr>
              <w:spacing w:after="0"/>
              <w:rPr>
                <w:sz w:val="12"/>
                <w:szCs w:val="12"/>
                <w:color w:val="auto"/>
              </w:rPr>
            </w:pPr>
          </w:p>
        </w:tc>
      </w:tr>
      <w:tr>
        <w:trPr>
          <w:trHeight w:val="170"/>
        </w:trPr>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Interim Chief Financial Officer and Vice President, Chief</w:t>
            </w:r>
          </w:p>
        </w:tc>
        <w:tc>
          <w:tcPr>
            <w:tcW w:w="2080" w:type="dxa"/>
            <w:vAlign w:val="bottom"/>
          </w:tcPr>
          <w:p>
            <w:pPr>
              <w:spacing w:after="0"/>
              <w:rPr>
                <w:sz w:val="14"/>
                <w:szCs w:val="14"/>
                <w:color w:val="auto"/>
              </w:rPr>
            </w:pPr>
          </w:p>
        </w:tc>
      </w:tr>
      <w:tr>
        <w:trPr>
          <w:trHeight w:val="170"/>
        </w:trPr>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Accounting Officer and Corporate Controller (Principal Financial</w:t>
            </w:r>
          </w:p>
        </w:tc>
        <w:tc>
          <w:tcPr>
            <w:tcW w:w="2080" w:type="dxa"/>
            <w:vAlign w:val="bottom"/>
          </w:tcPr>
          <w:p>
            <w:pPr>
              <w:spacing w:after="0"/>
              <w:rPr>
                <w:sz w:val="14"/>
                <w:szCs w:val="14"/>
                <w:color w:val="auto"/>
              </w:rPr>
            </w:pPr>
          </w:p>
        </w:tc>
      </w:tr>
      <w:tr>
        <w:trPr>
          <w:trHeight w:val="184"/>
        </w:trPr>
        <w:tc>
          <w:tcPr>
            <w:tcW w:w="35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Officer and Principal Accounting Officer)</w:t>
            </w:r>
          </w:p>
        </w:tc>
        <w:tc>
          <w:tcPr>
            <w:tcW w:w="2080" w:type="dxa"/>
            <w:vAlign w:val="bottom"/>
          </w:tcPr>
          <w:p>
            <w:pPr>
              <w:spacing w:after="0"/>
              <w:rPr>
                <w:sz w:val="16"/>
                <w:szCs w:val="16"/>
                <w:color w:val="auto"/>
              </w:rPr>
            </w:pPr>
          </w:p>
        </w:tc>
      </w:tr>
      <w:tr>
        <w:trPr>
          <w:trHeight w:val="340"/>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James A. Sharman</w:t>
            </w:r>
          </w:p>
        </w:tc>
        <w:tc>
          <w:tcPr>
            <w:tcW w:w="208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James A. Sharman, Director</w:t>
            </w:r>
          </w:p>
        </w:tc>
        <w:tc>
          <w:tcPr>
            <w:tcW w:w="2080" w:type="dxa"/>
            <w:vAlign w:val="bottom"/>
          </w:tcPr>
          <w:p>
            <w:pPr>
              <w:spacing w:after="0"/>
              <w:rPr>
                <w:sz w:val="15"/>
                <w:szCs w:val="15"/>
                <w:color w:val="auto"/>
              </w:rPr>
            </w:pPr>
          </w:p>
        </w:tc>
      </w:tr>
      <w:tr>
        <w:trPr>
          <w:trHeight w:val="325"/>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Michael Dinkins</w:t>
            </w:r>
          </w:p>
        </w:tc>
        <w:tc>
          <w:tcPr>
            <w:tcW w:w="208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Michael Dinkins, Director</w:t>
            </w:r>
          </w:p>
        </w:tc>
        <w:tc>
          <w:tcPr>
            <w:tcW w:w="2080" w:type="dxa"/>
            <w:vAlign w:val="bottom"/>
          </w:tcPr>
          <w:p>
            <w:pPr>
              <w:spacing w:after="0"/>
              <w:rPr>
                <w:sz w:val="15"/>
                <w:szCs w:val="15"/>
                <w:color w:val="auto"/>
              </w:rPr>
            </w:pPr>
          </w:p>
        </w:tc>
      </w:tr>
      <w:tr>
        <w:trPr>
          <w:trHeight w:val="325"/>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Carl Esposito</w:t>
            </w:r>
          </w:p>
        </w:tc>
        <w:tc>
          <w:tcPr>
            <w:tcW w:w="208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Carl Esposito, Director</w:t>
            </w:r>
          </w:p>
        </w:tc>
        <w:tc>
          <w:tcPr>
            <w:tcW w:w="2080" w:type="dxa"/>
            <w:vAlign w:val="bottom"/>
          </w:tcPr>
          <w:p>
            <w:pPr>
              <w:spacing w:after="0"/>
              <w:rPr>
                <w:sz w:val="15"/>
                <w:szCs w:val="15"/>
                <w:color w:val="auto"/>
              </w:rPr>
            </w:pPr>
          </w:p>
        </w:tc>
      </w:tr>
      <w:tr>
        <w:trPr>
          <w:trHeight w:val="325"/>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Angela K. Freeman</w:t>
            </w:r>
          </w:p>
        </w:tc>
        <w:tc>
          <w:tcPr>
            <w:tcW w:w="208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Angela K. Freeman, Director</w:t>
            </w:r>
          </w:p>
        </w:tc>
        <w:tc>
          <w:tcPr>
            <w:tcW w:w="2080" w:type="dxa"/>
            <w:vAlign w:val="bottom"/>
          </w:tcPr>
          <w:p>
            <w:pPr>
              <w:spacing w:after="0"/>
              <w:rPr>
                <w:sz w:val="15"/>
                <w:szCs w:val="15"/>
                <w:color w:val="auto"/>
              </w:rPr>
            </w:pPr>
          </w:p>
        </w:tc>
      </w:tr>
      <w:tr>
        <w:trPr>
          <w:trHeight w:val="325"/>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Pamela L. Kermisch</w:t>
            </w:r>
          </w:p>
        </w:tc>
        <w:tc>
          <w:tcPr>
            <w:tcW w:w="208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Pamela L. Kermisch, Director</w:t>
            </w:r>
          </w:p>
        </w:tc>
        <w:tc>
          <w:tcPr>
            <w:tcW w:w="2080" w:type="dxa"/>
            <w:vAlign w:val="bottom"/>
          </w:tcPr>
          <w:p>
            <w:pPr>
              <w:spacing w:after="0"/>
              <w:rPr>
                <w:sz w:val="15"/>
                <w:szCs w:val="15"/>
                <w:color w:val="auto"/>
              </w:rPr>
            </w:pPr>
          </w:p>
        </w:tc>
      </w:tr>
      <w:tr>
        <w:trPr>
          <w:trHeight w:val="325"/>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Paul A. Mascarenas</w:t>
            </w:r>
          </w:p>
        </w:tc>
        <w:tc>
          <w:tcPr>
            <w:tcW w:w="208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Paul A. Mascarenas, Director</w:t>
            </w:r>
          </w:p>
        </w:tc>
        <w:tc>
          <w:tcPr>
            <w:tcW w:w="2080" w:type="dxa"/>
            <w:vAlign w:val="bottom"/>
          </w:tcPr>
          <w:p>
            <w:pPr>
              <w:spacing w:after="0"/>
              <w:rPr>
                <w:sz w:val="15"/>
                <w:szCs w:val="15"/>
                <w:color w:val="auto"/>
              </w:rPr>
            </w:pPr>
          </w:p>
        </w:tc>
      </w:tr>
      <w:tr>
        <w:trPr>
          <w:trHeight w:val="325"/>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Terri Pizzuto</w:t>
            </w:r>
          </w:p>
        </w:tc>
        <w:tc>
          <w:tcPr>
            <w:tcW w:w="208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Terri Pizzuto, Director</w:t>
            </w:r>
          </w:p>
        </w:tc>
        <w:tc>
          <w:tcPr>
            <w:tcW w:w="2080" w:type="dxa"/>
            <w:vAlign w:val="bottom"/>
          </w:tcPr>
          <w:p>
            <w:pPr>
              <w:spacing w:after="0"/>
              <w:rPr>
                <w:sz w:val="15"/>
                <w:szCs w:val="15"/>
                <w:color w:val="auto"/>
              </w:rPr>
            </w:pPr>
          </w:p>
        </w:tc>
      </w:tr>
      <w:tr>
        <w:trPr>
          <w:trHeight w:val="325"/>
        </w:trPr>
        <w:tc>
          <w:tcPr>
            <w:tcW w:w="35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February 20, 2025</w:t>
            </w:r>
          </w:p>
        </w:tc>
        <w:tc>
          <w:tcPr>
            <w:tcW w:w="1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Rourke</w:t>
            </w:r>
          </w:p>
        </w:tc>
        <w:tc>
          <w:tcPr>
            <w:tcW w:w="208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Mark Rourke, Director</w:t>
            </w:r>
          </w:p>
        </w:tc>
        <w:tc>
          <w:tcPr>
            <w:tcW w:w="2080" w:type="dxa"/>
            <w:vAlign w:val="bottom"/>
          </w:tcPr>
          <w:p>
            <w:pPr>
              <w:spacing w:after="0"/>
              <w:rPr>
                <w:sz w:val="15"/>
                <w:szCs w:val="15"/>
                <w:color w:val="auto"/>
              </w:rPr>
            </w:pPr>
          </w:p>
        </w:tc>
      </w:tr>
      <w:tr>
        <w:trPr>
          <w:trHeight w:val="325"/>
        </w:trPr>
        <w:tc>
          <w:tcPr>
            <w:tcW w:w="3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84</w:t>
            </w:r>
          </w:p>
        </w:tc>
        <w:tc>
          <w:tcPr>
            <w:tcW w:w="2080" w:type="dxa"/>
            <w:vAlign w:val="bottom"/>
          </w:tcPr>
          <w:p>
            <w:pPr>
              <w:spacing w:after="0"/>
              <w:rPr>
                <w:sz w:val="24"/>
                <w:szCs w:val="24"/>
                <w:color w:val="auto"/>
              </w:rPr>
            </w:pPr>
          </w:p>
        </w:tc>
      </w:tr>
      <w:tr>
        <w:trPr>
          <w:trHeight w:val="87"/>
        </w:trPr>
        <w:tc>
          <w:tcPr>
            <w:tcW w:w="354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6"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color w:val="auto"/>
        </w:rPr>
        <w:t>APPENDIX 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SHYFT GROUP, INC. AND SUBSIDIARIES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Additions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Balance at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Charged to</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Charged to</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Balance</w:t>
            </w:r>
          </w:p>
        </w:tc>
      </w:tr>
      <w:tr>
        <w:trPr>
          <w:trHeight w:val="170"/>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Beginning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Costs and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at End</w:t>
            </w:r>
          </w:p>
        </w:tc>
      </w:tr>
      <w:tr>
        <w:trPr>
          <w:trHeight w:val="184"/>
        </w:trPr>
        <w:tc>
          <w:tcPr>
            <w:tcW w:w="46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Description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of Period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Accounts</w:t>
            </w:r>
          </w:p>
        </w:tc>
        <w:tc>
          <w:tcPr>
            <w:tcW w:w="14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Deductions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of Period</w:t>
            </w:r>
          </w:p>
        </w:tc>
      </w:tr>
      <w:tr>
        <w:trPr>
          <w:trHeight w:val="161"/>
        </w:trPr>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(196)</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533</w:t>
            </w:r>
          </w:p>
        </w:tc>
      </w:tr>
      <w:tr>
        <w:trPr>
          <w:trHeight w:val="170"/>
        </w:trPr>
        <w:tc>
          <w:tcPr>
            <w:tcW w:w="4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(129)</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276</w:t>
            </w:r>
          </w:p>
        </w:tc>
      </w:tr>
      <w:tr>
        <w:trPr>
          <w:trHeight w:val="170"/>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(181)</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246</w:t>
            </w:r>
          </w:p>
        </w:tc>
      </w:tr>
    </w:tbl>
    <w:p>
      <w:pPr>
        <w:sectPr>
          <w:pgSz w:w="11900" w:h="16838" w:orient="portrait"/>
          <w:cols w:equalWidth="0" w:num="1">
            <w:col w:w="11280"/>
          </w:cols>
          <w:pgMar w:left="300" w:top="507" w:right="319" w:bottom="1440" w:gutter="0" w:footer="0" w:header="0"/>
        </w:sectPr>
      </w:pPr>
    </w:p>
    <w:bookmarkStart w:id="86" w:name="page87"/>
    <w:bookmarkEnd w:id="86"/>
    <w:p>
      <w:pPr>
        <w:ind w:left="10480"/>
        <w:spacing w:after="0"/>
        <w:rPr>
          <w:sz w:val="20"/>
          <w:szCs w:val="20"/>
          <w:color w:val="auto"/>
        </w:rPr>
      </w:pPr>
      <w:r>
        <w:rPr>
          <w:rFonts w:ascii="Times New Roman" w:cs="Times New Roman" w:eastAsia="Times New Roman" w:hAnsi="Times New Roman"/>
          <w:sz w:val="14"/>
          <w:szCs w:val="14"/>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1746250" cy="182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1746250" cy="182245"/>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124460</wp:posOffset>
            </wp:positionV>
            <wp:extent cx="1179830" cy="2425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1179830" cy="2425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Scott Ocholik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Vice President, Chief Accounting Officer &amp; Corporate Controller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Via email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Scott:</w:t>
      </w:r>
    </w:p>
    <w:p>
      <w:pPr>
        <w:spacing w:after="0" w:line="1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 am pleased to confirm your appointment to the role of Interim Chief Financial Officer (“Interim CFO Role”), effective January 1, 2025, in addition to continuing your role as the Chief Accounting Officer and Corporate Controller. To recognize the additional responsibilities that will be required, you will receive an additional base salary payment in the amount of $25,000 per month, less applicable taxes and withholdings, which will continue for the duration of your service as Interim CFO (the “Interim Monthly Payment”). Service for a partial month will be paid on a pro rata basis. The other elements of your current compensation and benefits will remain unchanged, including that the Interim Monthly Payment will not be factored in any such element that is expressed as a function of your salary.</w:t>
      </w:r>
    </w:p>
    <w:p>
      <w:pPr>
        <w:spacing w:after="0" w:line="14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have initiated a search with an external firm for the Chief Financial Officer position (“CFO Role”) and will consider internal and external candidates for the role. If you are not offered the CFO Role, but are offered the opportunity to continue employment as Vice President, Chief Accounting Officer and Corporate Controller (“CAO”) with compensation and benefits at least equal to those in place prior to your appointment as Interim CFO, you acknowledge such actions (which would include cessation of the Interim Monthly Payment) will not constitute Good Reason or a Qualifying Termination (as defined in the Executive Severance Plan or Stock Incentive Plan).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behalf of the Shyft Board of Directors, we appreciate your expertise and leadership.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Sincerely,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Dunn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Dunn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accept the Interim Chief Financial Officer position with the pay and conditions described above.</w:t>
      </w:r>
    </w:p>
    <w:p>
      <w:pPr>
        <w:spacing w:after="0" w:line="17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color w:val="auto"/>
        </w:rPr>
        <w:t>/Scott Ocholik</w:t>
      </w:r>
      <w:r>
        <w:rPr>
          <w:sz w:val="20"/>
          <w:szCs w:val="20"/>
          <w:color w:val="auto"/>
        </w:rPr>
        <w:tab/>
      </w:r>
      <w:r>
        <w:rPr>
          <w:rFonts w:ascii="Times New Roman" w:cs="Times New Roman" w:eastAsia="Times New Roman" w:hAnsi="Times New Roman"/>
          <w:sz w:val="14"/>
          <w:szCs w:val="14"/>
          <w:color w:val="auto"/>
        </w:rPr>
        <w:t>12/22/24</w:t>
      </w:r>
    </w:p>
    <w:p>
      <w:pPr>
        <w:spacing w:after="0" w:line="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color w:val="auto"/>
        </w:rPr>
        <w:t>Scott Ocholik</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262890" cy="269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262890" cy="26987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356870</wp:posOffset>
            </wp:positionV>
            <wp:extent cx="768985" cy="13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68985" cy="13462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14"/>
          <w:szCs w:val="14"/>
          <w:b w:val="1"/>
          <w:bCs w:val="1"/>
          <w:color w:val="auto"/>
        </w:rPr>
        <w:t>Exhibit 19</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FOR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746250" cy="182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1746250" cy="182245"/>
                    </a:xfrm>
                    <a:prstGeom prst="rect">
                      <a:avLst/>
                    </a:prstGeom>
                    <a:noFill/>
                  </pic:spPr>
                </pic:pic>
              </a:graphicData>
            </a:graphic>
          </wp:anchor>
        </w:drawing>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510"/>
        </w:trPr>
        <w:tc>
          <w:tcPr>
            <w:tcW w:w="260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8"/>
                <w:szCs w:val="28"/>
                <w:b w:val="1"/>
                <w:bCs w:val="1"/>
                <w:color w:val="auto"/>
              </w:rPr>
              <w:t>Shyft Group Insider Trading Policy</w:t>
            </w:r>
          </w:p>
        </w:tc>
      </w:tr>
      <w:tr>
        <w:trPr>
          <w:trHeight w:val="234"/>
        </w:trPr>
        <w:tc>
          <w:tcPr>
            <w:tcW w:w="2600" w:type="dxa"/>
            <w:vAlign w:val="bottom"/>
            <w:tcBorders>
              <w:left w:val="single" w:sz="8" w:color="auto"/>
            </w:tcBorders>
            <w:shd w:val="clear" w:color="auto" w:fill="E6E6E6"/>
          </w:tcPr>
          <w:p>
            <w:pPr>
              <w:spacing w:after="0"/>
              <w:rPr>
                <w:sz w:val="20"/>
                <w:szCs w:val="20"/>
                <w:color w:val="auto"/>
              </w:rPr>
            </w:pPr>
          </w:p>
        </w:tc>
        <w:tc>
          <w:tcPr>
            <w:tcW w:w="8700" w:type="dxa"/>
            <w:vAlign w:val="bottom"/>
            <w:tcBorders>
              <w:right w:val="single" w:sz="8" w:color="auto"/>
            </w:tcBorders>
            <w:shd w:val="clear" w:color="auto" w:fill="E6E6E6"/>
          </w:tcPr>
          <w:p>
            <w:pPr>
              <w:ind w:left="1360"/>
              <w:spacing w:after="0"/>
              <w:rPr>
                <w:sz w:val="20"/>
                <w:szCs w:val="20"/>
                <w:color w:val="auto"/>
              </w:rPr>
            </w:pPr>
            <w:r>
              <w:rPr>
                <w:rFonts w:ascii="Times New Roman" w:cs="Times New Roman" w:eastAsia="Times New Roman" w:hAnsi="Times New Roman"/>
                <w:sz w:val="20"/>
                <w:szCs w:val="20"/>
                <w:b w:val="1"/>
                <w:bCs w:val="1"/>
                <w:color w:val="auto"/>
              </w:rPr>
              <w:t>REQUIREMENTS AND STANDARDS</w:t>
            </w:r>
          </w:p>
        </w:tc>
      </w:tr>
      <w:tr>
        <w:trPr>
          <w:trHeight w:val="160"/>
        </w:trPr>
        <w:tc>
          <w:tcPr>
            <w:tcW w:w="2600" w:type="dxa"/>
            <w:vAlign w:val="bottom"/>
            <w:tcBorders>
              <w:left w:val="single" w:sz="8" w:color="auto"/>
            </w:tcBorders>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Reference Number:</w:t>
            </w:r>
          </w:p>
        </w:tc>
        <w:tc>
          <w:tcPr>
            <w:tcW w:w="8700" w:type="dxa"/>
            <w:vAlign w:val="bottom"/>
            <w:tcBorders>
              <w:right w:val="single" w:sz="8" w:color="auto"/>
            </w:tcBorders>
          </w:tcPr>
          <w:p>
            <w:pPr>
              <w:ind w:left="3040"/>
              <w:spacing w:after="0" w:line="160" w:lineRule="exact"/>
              <w:rPr>
                <w:sz w:val="20"/>
                <w:szCs w:val="20"/>
                <w:color w:val="auto"/>
              </w:rPr>
            </w:pPr>
            <w:r>
              <w:rPr>
                <w:rFonts w:ascii="Times New Roman" w:cs="Times New Roman" w:eastAsia="Times New Roman" w:hAnsi="Times New Roman"/>
                <w:sz w:val="16"/>
                <w:szCs w:val="16"/>
                <w:b w:val="1"/>
                <w:bCs w:val="1"/>
                <w:color w:val="auto"/>
              </w:rPr>
              <w:t>Issuing Department: Legal</w:t>
            </w:r>
          </w:p>
        </w:tc>
      </w:tr>
      <w:tr>
        <w:trPr>
          <w:trHeight w:val="181"/>
        </w:trPr>
        <w:tc>
          <w:tcPr>
            <w:tcW w:w="260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Effective Date:  10.2021</w:t>
            </w:r>
          </w:p>
        </w:tc>
        <w:tc>
          <w:tcPr>
            <w:tcW w:w="8700" w:type="dxa"/>
            <w:vAlign w:val="bottom"/>
            <w:tcBorders>
              <w:right w:val="single" w:sz="8" w:color="auto"/>
            </w:tcBorders>
          </w:tcPr>
          <w:p>
            <w:pPr>
              <w:ind w:left="3040"/>
              <w:spacing w:after="0" w:line="181" w:lineRule="exact"/>
              <w:rPr>
                <w:sz w:val="20"/>
                <w:szCs w:val="20"/>
                <w:color w:val="auto"/>
              </w:rPr>
            </w:pPr>
            <w:r>
              <w:rPr>
                <w:rFonts w:ascii="Times New Roman" w:cs="Times New Roman" w:eastAsia="Times New Roman" w:hAnsi="Times New Roman"/>
                <w:sz w:val="16"/>
                <w:szCs w:val="16"/>
                <w:b w:val="1"/>
                <w:bCs w:val="1"/>
                <w:color w:val="auto"/>
              </w:rPr>
              <w:t>Approved by: Josh Sherbin</w:t>
            </w:r>
          </w:p>
        </w:tc>
      </w:tr>
      <w:tr>
        <w:trPr>
          <w:trHeight w:val="201"/>
        </w:trPr>
        <w:tc>
          <w:tcPr>
            <w:tcW w:w="26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Version:</w:t>
            </w:r>
          </w:p>
        </w:tc>
        <w:tc>
          <w:tcPr>
            <w:tcW w:w="8700" w:type="dxa"/>
            <w:vAlign w:val="bottom"/>
            <w:tcBorders>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Title: Chief Legal, Compliance and Administrative Officer</w:t>
            </w:r>
          </w:p>
        </w:tc>
      </w:tr>
    </w:tbl>
    <w:p>
      <w:pPr>
        <w:spacing w:after="0" w:line="3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1.0</w:t>
        <w:tab/>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Shyft Group, Inc. (together with its subsidiaries, the “Company”) has adopted this Insider Trading Policy (this “Policy”) to set forth the procedures and guidelines governing securities transactions by Company directors, officers, and employees, to comply with federal securities laws and regulations.</w:t>
      </w:r>
    </w:p>
    <w:p>
      <w:pPr>
        <w:spacing w:after="0" w:line="1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2.0</w:t>
        <w:tab/>
        <w:t>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Policy applies to (i) the Company’s directors, officers, and employees, (ii) others who gain access to non-public information, including contractors and consultants to the Company, (iii) such persons’ family members or others who reside with them and (iv) any other persons or entities whose securities transactions are directed by the foregoing persons or subject to their influence or control (collectively, “Insiders”). It is the responsibility of the Company's directors, officers, and employees to ensure compliance with this Policy by their family members and other Insiders described in clauses (iii) and (iv) of this paragraph.</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their access to confidential information on a regular basis, this Policy subjects directors and certain employees (the “Window Group”) to additional restrictions on trading in the Company’s securities. The restrictions for the Window Group are discussed in Section 4 below.</w:t>
      </w:r>
    </w:p>
    <w:p>
      <w:pPr>
        <w:spacing w:after="0" w:line="1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3.0</w:t>
        <w:tab/>
        <w:t>GENERAL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It is a violation of federal securities laws for any person who is possession of material non-public information to (1) buy or sell securities, including without limitation, common stock, derivative securities, debt securities or any other securities of the Company, or (2) pass that information on to others outside the Company, including family and friends.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directors, officers, and employees should pay particularly close attention to the laws against trading on “non-public” information. These laws are based upon the belief that all persons trading in a company’s securities should have equal access to all “material” information about that company. Federal securities laws not only prohibit the purchase or sale of Company securities by specified persons while aware of material non-public information about the Company, but also the disclosure of material non-public information about the Company by such persons to another person who might be expected to trade in the Company’s securities while in possession of that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716153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3"/>
          <w:szCs w:val="13"/>
          <w:b w:val="1"/>
          <w:bCs w:val="1"/>
          <w:color w:val="auto"/>
        </w:rPr>
        <w:t>FOR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746250" cy="182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1746250" cy="182245"/>
                    </a:xfrm>
                    <a:prstGeom prst="rect">
                      <a:avLst/>
                    </a:prstGeom>
                    <a:noFill/>
                  </pic:spPr>
                </pic:pic>
              </a:graphicData>
            </a:graphic>
          </wp:anchor>
        </w:drawing>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510"/>
        </w:trPr>
        <w:tc>
          <w:tcPr>
            <w:tcW w:w="260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8"/>
                <w:szCs w:val="28"/>
                <w:b w:val="1"/>
                <w:bCs w:val="1"/>
                <w:color w:val="auto"/>
              </w:rPr>
              <w:t>Shyft Group Insider Trading Policy</w:t>
            </w:r>
          </w:p>
        </w:tc>
      </w:tr>
      <w:tr>
        <w:trPr>
          <w:trHeight w:val="234"/>
        </w:trPr>
        <w:tc>
          <w:tcPr>
            <w:tcW w:w="2600" w:type="dxa"/>
            <w:vAlign w:val="bottom"/>
            <w:tcBorders>
              <w:left w:val="single" w:sz="8" w:color="auto"/>
            </w:tcBorders>
            <w:shd w:val="clear" w:color="auto" w:fill="E6E6E6"/>
          </w:tcPr>
          <w:p>
            <w:pPr>
              <w:spacing w:after="0"/>
              <w:rPr>
                <w:sz w:val="20"/>
                <w:szCs w:val="20"/>
                <w:color w:val="auto"/>
              </w:rPr>
            </w:pPr>
          </w:p>
        </w:tc>
        <w:tc>
          <w:tcPr>
            <w:tcW w:w="8700" w:type="dxa"/>
            <w:vAlign w:val="bottom"/>
            <w:tcBorders>
              <w:right w:val="single" w:sz="8" w:color="auto"/>
            </w:tcBorders>
            <w:shd w:val="clear" w:color="auto" w:fill="E6E6E6"/>
          </w:tcPr>
          <w:p>
            <w:pPr>
              <w:ind w:left="1360"/>
              <w:spacing w:after="0"/>
              <w:rPr>
                <w:sz w:val="20"/>
                <w:szCs w:val="20"/>
                <w:color w:val="auto"/>
              </w:rPr>
            </w:pPr>
            <w:r>
              <w:rPr>
                <w:rFonts w:ascii="Times New Roman" w:cs="Times New Roman" w:eastAsia="Times New Roman" w:hAnsi="Times New Roman"/>
                <w:sz w:val="20"/>
                <w:szCs w:val="20"/>
                <w:b w:val="1"/>
                <w:bCs w:val="1"/>
                <w:color w:val="auto"/>
              </w:rPr>
              <w:t>REQUIREMENTS AND STANDARDS</w:t>
            </w:r>
          </w:p>
        </w:tc>
      </w:tr>
      <w:tr>
        <w:trPr>
          <w:trHeight w:val="160"/>
        </w:trPr>
        <w:tc>
          <w:tcPr>
            <w:tcW w:w="2600" w:type="dxa"/>
            <w:vAlign w:val="bottom"/>
            <w:tcBorders>
              <w:left w:val="single" w:sz="8" w:color="auto"/>
            </w:tcBorders>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Reference Number:</w:t>
            </w:r>
          </w:p>
        </w:tc>
        <w:tc>
          <w:tcPr>
            <w:tcW w:w="8700" w:type="dxa"/>
            <w:vAlign w:val="bottom"/>
            <w:tcBorders>
              <w:right w:val="single" w:sz="8" w:color="auto"/>
            </w:tcBorders>
          </w:tcPr>
          <w:p>
            <w:pPr>
              <w:ind w:left="3040"/>
              <w:spacing w:after="0" w:line="160" w:lineRule="exact"/>
              <w:rPr>
                <w:sz w:val="20"/>
                <w:szCs w:val="20"/>
                <w:color w:val="auto"/>
              </w:rPr>
            </w:pPr>
            <w:r>
              <w:rPr>
                <w:rFonts w:ascii="Times New Roman" w:cs="Times New Roman" w:eastAsia="Times New Roman" w:hAnsi="Times New Roman"/>
                <w:sz w:val="16"/>
                <w:szCs w:val="16"/>
                <w:b w:val="1"/>
                <w:bCs w:val="1"/>
                <w:color w:val="auto"/>
              </w:rPr>
              <w:t>Issuing Department: Legal</w:t>
            </w:r>
          </w:p>
        </w:tc>
      </w:tr>
      <w:tr>
        <w:trPr>
          <w:trHeight w:val="181"/>
        </w:trPr>
        <w:tc>
          <w:tcPr>
            <w:tcW w:w="260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Effective Date:  10.2021</w:t>
            </w:r>
          </w:p>
        </w:tc>
        <w:tc>
          <w:tcPr>
            <w:tcW w:w="8700" w:type="dxa"/>
            <w:vAlign w:val="bottom"/>
            <w:tcBorders>
              <w:right w:val="single" w:sz="8" w:color="auto"/>
            </w:tcBorders>
          </w:tcPr>
          <w:p>
            <w:pPr>
              <w:ind w:left="3040"/>
              <w:spacing w:after="0" w:line="181" w:lineRule="exact"/>
              <w:rPr>
                <w:sz w:val="20"/>
                <w:szCs w:val="20"/>
                <w:color w:val="auto"/>
              </w:rPr>
            </w:pPr>
            <w:r>
              <w:rPr>
                <w:rFonts w:ascii="Times New Roman" w:cs="Times New Roman" w:eastAsia="Times New Roman" w:hAnsi="Times New Roman"/>
                <w:sz w:val="16"/>
                <w:szCs w:val="16"/>
                <w:b w:val="1"/>
                <w:bCs w:val="1"/>
                <w:color w:val="auto"/>
              </w:rPr>
              <w:t>Approved by: Josh Sherbin</w:t>
            </w:r>
          </w:p>
        </w:tc>
      </w:tr>
      <w:tr>
        <w:trPr>
          <w:trHeight w:val="201"/>
        </w:trPr>
        <w:tc>
          <w:tcPr>
            <w:tcW w:w="26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Version:</w:t>
            </w:r>
          </w:p>
        </w:tc>
        <w:tc>
          <w:tcPr>
            <w:tcW w:w="8700" w:type="dxa"/>
            <w:vAlign w:val="bottom"/>
            <w:tcBorders>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Title: Chief Legal, Compliance and Administrative Officer</w:t>
            </w:r>
          </w:p>
        </w:tc>
      </w:tr>
    </w:tbl>
    <w:p>
      <w:pPr>
        <w:spacing w:after="0" w:line="3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is material if there is a substantial likelihood that a reasonable investor would consider it important in deciding to buy, hold or sell the Company’s securities. Some examples of information, whether positive or negative, that should be assumed to be material are:</w:t>
      </w:r>
    </w:p>
    <w:p>
      <w:pPr>
        <w:spacing w:after="0" w:line="125" w:lineRule="exact"/>
        <w:rPr>
          <w:sz w:val="20"/>
          <w:szCs w:val="20"/>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earnings results;</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projections of future earnings or losses;</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or proposed mergers, tender offers or significant acquisitions or dispositions;</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senior management or control of the Company;</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new products or technological advances;</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production schedules or product planning;</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or loss of a substantial customer or contract or entry into a joint venture;</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changes in accounting methods or policies;</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litigation or regulatory proceedings or actions;</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cybersecurity or other data privacy incident;</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impending bankruptcy or financial liquidity problems;</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labor negotiations or disputes, including possible strikes;</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accounting treatment;</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splits and significant stock repurchases; and</w:t>
      </w:r>
    </w:p>
    <w:p>
      <w:pPr>
        <w:spacing w:after="0" w:line="3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cadence or amount of dividends.</w:t>
      </w:r>
    </w:p>
    <w:p>
      <w:pPr>
        <w:spacing w:after="0" w:line="3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list is merely illustrative; courts have given a broad interpretation to what is deemed “material” information. Information is considered “non-public” information if it has not been publicly disclosed in a manner making it available to investors generally on a broad-based, non-exclusionary basis, such as by press release or filing with the Securities and Exchange Commission (“SEC”), and/or the investing public has not had time to fully absorb the information.</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Non-public information is an asset of the Company. The use of such information for personal benefit or the inappropriate disclosure of such information to others outside of the Company violates the Company’s interests and could damage the Company’s reputation.</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you have a question as to whether information is material or non-public, you should not trade on or communicate the information to anyone without the prior written approval of the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716153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3"/>
          <w:szCs w:val="13"/>
          <w:b w:val="1"/>
          <w:bCs w:val="1"/>
          <w:color w:val="auto"/>
        </w:rPr>
        <w:t>FOR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746250" cy="182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1746250" cy="182245"/>
                    </a:xfrm>
                    <a:prstGeom prst="rect">
                      <a:avLst/>
                    </a:prstGeom>
                    <a:noFill/>
                  </pic:spPr>
                </pic:pic>
              </a:graphicData>
            </a:graphic>
          </wp:anchor>
        </w:drawing>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510"/>
        </w:trPr>
        <w:tc>
          <w:tcPr>
            <w:tcW w:w="260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8"/>
                <w:szCs w:val="28"/>
                <w:b w:val="1"/>
                <w:bCs w:val="1"/>
                <w:color w:val="auto"/>
              </w:rPr>
              <w:t>Shyft Group Insider Trading Policy</w:t>
            </w:r>
          </w:p>
        </w:tc>
      </w:tr>
      <w:tr>
        <w:trPr>
          <w:trHeight w:val="234"/>
        </w:trPr>
        <w:tc>
          <w:tcPr>
            <w:tcW w:w="2600" w:type="dxa"/>
            <w:vAlign w:val="bottom"/>
            <w:tcBorders>
              <w:left w:val="single" w:sz="8" w:color="auto"/>
            </w:tcBorders>
            <w:shd w:val="clear" w:color="auto" w:fill="E6E6E6"/>
          </w:tcPr>
          <w:p>
            <w:pPr>
              <w:spacing w:after="0"/>
              <w:rPr>
                <w:sz w:val="20"/>
                <w:szCs w:val="20"/>
                <w:color w:val="auto"/>
              </w:rPr>
            </w:pPr>
          </w:p>
        </w:tc>
        <w:tc>
          <w:tcPr>
            <w:tcW w:w="8700" w:type="dxa"/>
            <w:vAlign w:val="bottom"/>
            <w:tcBorders>
              <w:right w:val="single" w:sz="8" w:color="auto"/>
            </w:tcBorders>
            <w:shd w:val="clear" w:color="auto" w:fill="E6E6E6"/>
          </w:tcPr>
          <w:p>
            <w:pPr>
              <w:ind w:left="1360"/>
              <w:spacing w:after="0"/>
              <w:rPr>
                <w:sz w:val="20"/>
                <w:szCs w:val="20"/>
                <w:color w:val="auto"/>
              </w:rPr>
            </w:pPr>
            <w:r>
              <w:rPr>
                <w:rFonts w:ascii="Times New Roman" w:cs="Times New Roman" w:eastAsia="Times New Roman" w:hAnsi="Times New Roman"/>
                <w:sz w:val="20"/>
                <w:szCs w:val="20"/>
                <w:b w:val="1"/>
                <w:bCs w:val="1"/>
                <w:color w:val="auto"/>
              </w:rPr>
              <w:t>REQUIREMENTS AND STANDARDS</w:t>
            </w:r>
          </w:p>
        </w:tc>
      </w:tr>
      <w:tr>
        <w:trPr>
          <w:trHeight w:val="160"/>
        </w:trPr>
        <w:tc>
          <w:tcPr>
            <w:tcW w:w="2600" w:type="dxa"/>
            <w:vAlign w:val="bottom"/>
            <w:tcBorders>
              <w:left w:val="single" w:sz="8" w:color="auto"/>
            </w:tcBorders>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Reference Number:</w:t>
            </w:r>
          </w:p>
        </w:tc>
        <w:tc>
          <w:tcPr>
            <w:tcW w:w="8700" w:type="dxa"/>
            <w:vAlign w:val="bottom"/>
            <w:tcBorders>
              <w:right w:val="single" w:sz="8" w:color="auto"/>
            </w:tcBorders>
          </w:tcPr>
          <w:p>
            <w:pPr>
              <w:ind w:left="3040"/>
              <w:spacing w:after="0" w:line="160" w:lineRule="exact"/>
              <w:rPr>
                <w:sz w:val="20"/>
                <w:szCs w:val="20"/>
                <w:color w:val="auto"/>
              </w:rPr>
            </w:pPr>
            <w:r>
              <w:rPr>
                <w:rFonts w:ascii="Times New Roman" w:cs="Times New Roman" w:eastAsia="Times New Roman" w:hAnsi="Times New Roman"/>
                <w:sz w:val="16"/>
                <w:szCs w:val="16"/>
                <w:b w:val="1"/>
                <w:bCs w:val="1"/>
                <w:color w:val="auto"/>
              </w:rPr>
              <w:t>Issuing Department: Legal</w:t>
            </w:r>
          </w:p>
        </w:tc>
      </w:tr>
      <w:tr>
        <w:trPr>
          <w:trHeight w:val="181"/>
        </w:trPr>
        <w:tc>
          <w:tcPr>
            <w:tcW w:w="260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Effective Date:  10.2021</w:t>
            </w:r>
          </w:p>
        </w:tc>
        <w:tc>
          <w:tcPr>
            <w:tcW w:w="8700" w:type="dxa"/>
            <w:vAlign w:val="bottom"/>
            <w:tcBorders>
              <w:right w:val="single" w:sz="8" w:color="auto"/>
            </w:tcBorders>
          </w:tcPr>
          <w:p>
            <w:pPr>
              <w:ind w:left="3040"/>
              <w:spacing w:after="0" w:line="181" w:lineRule="exact"/>
              <w:rPr>
                <w:sz w:val="20"/>
                <w:szCs w:val="20"/>
                <w:color w:val="auto"/>
              </w:rPr>
            </w:pPr>
            <w:r>
              <w:rPr>
                <w:rFonts w:ascii="Times New Roman" w:cs="Times New Roman" w:eastAsia="Times New Roman" w:hAnsi="Times New Roman"/>
                <w:sz w:val="16"/>
                <w:szCs w:val="16"/>
                <w:b w:val="1"/>
                <w:bCs w:val="1"/>
                <w:color w:val="auto"/>
              </w:rPr>
              <w:t>Approved by: Josh Sherbin</w:t>
            </w:r>
          </w:p>
        </w:tc>
      </w:tr>
      <w:tr>
        <w:trPr>
          <w:trHeight w:val="201"/>
        </w:trPr>
        <w:tc>
          <w:tcPr>
            <w:tcW w:w="26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Version:</w:t>
            </w:r>
          </w:p>
        </w:tc>
        <w:tc>
          <w:tcPr>
            <w:tcW w:w="8700" w:type="dxa"/>
            <w:vAlign w:val="bottom"/>
            <w:tcBorders>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Title: Chief Legal, Compliance and Administrative Officer</w:t>
            </w:r>
          </w:p>
        </w:tc>
      </w:tr>
    </w:tbl>
    <w:p>
      <w:pPr>
        <w:spacing w:after="0" w:line="3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4.0</w:t>
        <w:tab/>
        <w:t>GENERAL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guidelines should be followed to ensure compliance with applicable laws and with the Company’s policies:</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4.1</w:t>
        <w:tab/>
        <w:t>Nondisclosure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Insiders are prohibited from disclosing material non-public information to anyone, unless such disclosure is made in accordance with Company policy regarding the protection or authorized external disclosure of information and in compliance with the Insider's confidentiality obligations to the Company.</w:t>
      </w:r>
    </w:p>
    <w:p>
      <w:pPr>
        <w:spacing w:after="0" w:line="1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4.2</w:t>
        <w:tab/>
        <w:t>Trading in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Securities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 Insider should engage in any transaction involving Company securities, or recommend others engage in any transaction involving Company’s securities, when the Insider has knowledge of material non-public information concerning the Company. From time to time, the Company may also require that all or certain Insiders refrain from engaging in transactions in Company securities for a specified period due to material information known to the Company and not yet disclosed to the public.</w:t>
      </w:r>
    </w:p>
    <w:p>
      <w:pPr>
        <w:spacing w:after="0" w:line="1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4.3</w:t>
        <w:tab/>
        <w:t>Trading in Another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Securities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Insiders who learn of material non-public information about a company with which the Company does or may do business, including any customers, vendors, suppliers, or distributors, may not trade in that company’s securities until the information becomes public or is no longer material to that company. You are strictly prohibited from misappropriating such information to trade in the securities of the third party or otherwise and are obliged to keep all such information confidential, sharing it only as directly or indirectly authorized by such third party, pursuant to an agreement between the Company and such third party, or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716153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3"/>
          <w:szCs w:val="13"/>
          <w:b w:val="1"/>
          <w:bCs w:val="1"/>
          <w:color w:val="auto"/>
        </w:rPr>
        <w:t>FOR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746250" cy="182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1746250" cy="182245"/>
                    </a:xfrm>
                    <a:prstGeom prst="rect">
                      <a:avLst/>
                    </a:prstGeom>
                    <a:noFill/>
                  </pic:spPr>
                </pic:pic>
              </a:graphicData>
            </a:graphic>
          </wp:anchor>
        </w:drawing>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510"/>
        </w:trPr>
        <w:tc>
          <w:tcPr>
            <w:tcW w:w="260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8"/>
                <w:szCs w:val="28"/>
                <w:b w:val="1"/>
                <w:bCs w:val="1"/>
                <w:color w:val="auto"/>
              </w:rPr>
              <w:t>Shyft Group Insider Trading Policy</w:t>
            </w:r>
          </w:p>
        </w:tc>
      </w:tr>
      <w:tr>
        <w:trPr>
          <w:trHeight w:val="234"/>
        </w:trPr>
        <w:tc>
          <w:tcPr>
            <w:tcW w:w="2600" w:type="dxa"/>
            <w:vAlign w:val="bottom"/>
            <w:tcBorders>
              <w:left w:val="single" w:sz="8" w:color="auto"/>
            </w:tcBorders>
            <w:shd w:val="clear" w:color="auto" w:fill="E6E6E6"/>
          </w:tcPr>
          <w:p>
            <w:pPr>
              <w:spacing w:after="0"/>
              <w:rPr>
                <w:sz w:val="20"/>
                <w:szCs w:val="20"/>
                <w:color w:val="auto"/>
              </w:rPr>
            </w:pPr>
          </w:p>
        </w:tc>
        <w:tc>
          <w:tcPr>
            <w:tcW w:w="8700" w:type="dxa"/>
            <w:vAlign w:val="bottom"/>
            <w:tcBorders>
              <w:right w:val="single" w:sz="8" w:color="auto"/>
            </w:tcBorders>
            <w:shd w:val="clear" w:color="auto" w:fill="E6E6E6"/>
          </w:tcPr>
          <w:p>
            <w:pPr>
              <w:ind w:left="1360"/>
              <w:spacing w:after="0"/>
              <w:rPr>
                <w:sz w:val="20"/>
                <w:szCs w:val="20"/>
                <w:color w:val="auto"/>
              </w:rPr>
            </w:pPr>
            <w:r>
              <w:rPr>
                <w:rFonts w:ascii="Times New Roman" w:cs="Times New Roman" w:eastAsia="Times New Roman" w:hAnsi="Times New Roman"/>
                <w:sz w:val="20"/>
                <w:szCs w:val="20"/>
                <w:b w:val="1"/>
                <w:bCs w:val="1"/>
                <w:color w:val="auto"/>
              </w:rPr>
              <w:t>REQUIREMENTS AND STANDARDS</w:t>
            </w:r>
          </w:p>
        </w:tc>
      </w:tr>
      <w:tr>
        <w:trPr>
          <w:trHeight w:val="160"/>
        </w:trPr>
        <w:tc>
          <w:tcPr>
            <w:tcW w:w="2600" w:type="dxa"/>
            <w:vAlign w:val="bottom"/>
            <w:tcBorders>
              <w:left w:val="single" w:sz="8" w:color="auto"/>
            </w:tcBorders>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Reference Number:</w:t>
            </w:r>
          </w:p>
        </w:tc>
        <w:tc>
          <w:tcPr>
            <w:tcW w:w="8700" w:type="dxa"/>
            <w:vAlign w:val="bottom"/>
            <w:tcBorders>
              <w:right w:val="single" w:sz="8" w:color="auto"/>
            </w:tcBorders>
          </w:tcPr>
          <w:p>
            <w:pPr>
              <w:ind w:left="3040"/>
              <w:spacing w:after="0" w:line="160" w:lineRule="exact"/>
              <w:rPr>
                <w:sz w:val="20"/>
                <w:szCs w:val="20"/>
                <w:color w:val="auto"/>
              </w:rPr>
            </w:pPr>
            <w:r>
              <w:rPr>
                <w:rFonts w:ascii="Times New Roman" w:cs="Times New Roman" w:eastAsia="Times New Roman" w:hAnsi="Times New Roman"/>
                <w:sz w:val="16"/>
                <w:szCs w:val="16"/>
                <w:b w:val="1"/>
                <w:bCs w:val="1"/>
                <w:color w:val="auto"/>
              </w:rPr>
              <w:t>Issuing Department: Legal</w:t>
            </w:r>
          </w:p>
        </w:tc>
      </w:tr>
      <w:tr>
        <w:trPr>
          <w:trHeight w:val="181"/>
        </w:trPr>
        <w:tc>
          <w:tcPr>
            <w:tcW w:w="260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Effective Date:  10.2021</w:t>
            </w:r>
          </w:p>
        </w:tc>
        <w:tc>
          <w:tcPr>
            <w:tcW w:w="8700" w:type="dxa"/>
            <w:vAlign w:val="bottom"/>
            <w:tcBorders>
              <w:right w:val="single" w:sz="8" w:color="auto"/>
            </w:tcBorders>
          </w:tcPr>
          <w:p>
            <w:pPr>
              <w:ind w:left="3040"/>
              <w:spacing w:after="0" w:line="181" w:lineRule="exact"/>
              <w:rPr>
                <w:sz w:val="20"/>
                <w:szCs w:val="20"/>
                <w:color w:val="auto"/>
              </w:rPr>
            </w:pPr>
            <w:r>
              <w:rPr>
                <w:rFonts w:ascii="Times New Roman" w:cs="Times New Roman" w:eastAsia="Times New Roman" w:hAnsi="Times New Roman"/>
                <w:sz w:val="16"/>
                <w:szCs w:val="16"/>
                <w:b w:val="1"/>
                <w:bCs w:val="1"/>
                <w:color w:val="auto"/>
              </w:rPr>
              <w:t>Approved by: Josh Sherbin</w:t>
            </w:r>
          </w:p>
        </w:tc>
      </w:tr>
      <w:tr>
        <w:trPr>
          <w:trHeight w:val="201"/>
        </w:trPr>
        <w:tc>
          <w:tcPr>
            <w:tcW w:w="26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Version:</w:t>
            </w:r>
          </w:p>
        </w:tc>
        <w:tc>
          <w:tcPr>
            <w:tcW w:w="8700" w:type="dxa"/>
            <w:vAlign w:val="bottom"/>
            <w:tcBorders>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Title: Chief Legal, Compliance and Administrative Officer</w:t>
            </w:r>
          </w:p>
        </w:tc>
      </w:tr>
    </w:tbl>
    <w:p>
      <w:pPr>
        <w:spacing w:after="0" w:line="3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5.0</w:t>
        <w:tab/>
        <w:t>ADDITIONAL RESTRICTIONS APPLICABLE TO THE WINDOW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restrictions apply to members (or certain members, as applicable) of the Company’s Window Group. The Window Group consists of (i) directors, (ii) elected officers of the Company,</w:t>
      </w:r>
    </w:p>
    <w:p>
      <w:pPr>
        <w:spacing w:after="0" w:line="23" w:lineRule="exact"/>
        <w:rPr>
          <w:sz w:val="20"/>
          <w:szCs w:val="20"/>
          <w:color w:val="auto"/>
        </w:rPr>
      </w:pPr>
    </w:p>
    <w:p>
      <w:pPr>
        <w:jc w:val="both"/>
        <w:ind w:firstLine="5"/>
        <w:spacing w:after="0" w:line="259" w:lineRule="auto"/>
        <w:tabs>
          <w:tab w:leader="none" w:pos="25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persons as the Chief Legal Officer may designate from time to time and inform of such status, and (iv) for each of the foregoing persons, such persons’ family members or others who reside with them and any other persons or entities whose securities transactions are directed by the foregoing persons or subject to their influence or control. The Window Group is subject to the following additional restrictions on trading in Company securities:</w:t>
      </w:r>
    </w:p>
    <w:p>
      <w:pPr>
        <w:spacing w:after="0" w:line="14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5.1</w:t>
        <w:tab/>
        <w:t>Trading Window</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Trading is permitted only during a period referred to as the “Window.” The Window will generally open one full trading day following the date on which quarterly or year-end financial results are publicly released with respect to the preceding fiscal period (i.e., trades may be made beginning on the second trading day after the date on which earnings are released). The Window will generally close on the 14th calendar day prior to the end of the then current fiscal quarter (e.g., for a quarter ending on September 30, the Window will close at 11:59 p.m. on September 16), provided that if such 14th calendar day is not a trading day, the Window will close on the last trading day immediately prior to such 14th calendar day. Any exceptions to the Window period must be approved by the Chief Legal Officer. Trading in Company securities during a Window should not be considered a “safe harbor,” and the Window Group and other persons should ensure their trades are not effected while they are in possession of material non-public information concerning the Company.</w:t>
      </w:r>
    </w:p>
    <w:p>
      <w:pPr>
        <w:spacing w:after="0" w:line="14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5.2</w:t>
        <w:tab/>
        <w:t>Closing of Trading Window; Event-Specific Blackouts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regular quarterly Window may also be closed, depending upon events occurring at the Company. The Chief Legal Officer will make this determination and so advise the Window Group. The Chief Legal Officer is not required to, and may not provide reasons for this determination, and the closing of the Window itself should be considered material non-public information that should not be communicated other than to ensure compliance with this Policy.</w:t>
      </w:r>
    </w:p>
    <w:p>
      <w:pPr>
        <w:spacing w:after="0" w:line="1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5.3</w:t>
        <w:tab/>
        <w:t>Mandatory Pre-Clearance of Trades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All trades in Company securities by officers (as defined in Rule 16a-1(f) under the Securities Exchange Act of 1934) and directors of the Company (collectively, “Covered Executives”) are subject to the prior review and written clearance by the Chief Legal Officer. Written clearance may take the form of an e-mail. If the Chief Legal Officer grants pre-clearance, the requestor may make the trade any time within the 5-day period following receipt of pre-clearance, as long as the Window is still open at the time of the trade and the Chief Legal Officer does not withdraw the pre-clearance during the 5-day period. If the requestor becomes aware of material non-public information concerning the Company before the trade is executed, the pre-clearance shall be void and the trade must not be completed. If a person seeks pre-clearance and permission to engage in the transaction is denied, then the person should refrain from initiating any transaction in Company securities and should not inform any other person of the denial.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16153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3"/>
          <w:szCs w:val="13"/>
          <w:b w:val="1"/>
          <w:bCs w:val="1"/>
          <w:color w:val="auto"/>
        </w:rPr>
        <w:t>FOR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746250" cy="182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1746250" cy="182245"/>
                    </a:xfrm>
                    <a:prstGeom prst="rect">
                      <a:avLst/>
                    </a:prstGeom>
                    <a:noFill/>
                  </pic:spPr>
                </pic:pic>
              </a:graphicData>
            </a:graphic>
          </wp:anchor>
        </w:drawing>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510"/>
        </w:trPr>
        <w:tc>
          <w:tcPr>
            <w:tcW w:w="260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8"/>
                <w:szCs w:val="28"/>
                <w:b w:val="1"/>
                <w:bCs w:val="1"/>
                <w:color w:val="auto"/>
              </w:rPr>
              <w:t>Shyft Group Insider Trading Policy</w:t>
            </w:r>
          </w:p>
        </w:tc>
      </w:tr>
      <w:tr>
        <w:trPr>
          <w:trHeight w:val="234"/>
        </w:trPr>
        <w:tc>
          <w:tcPr>
            <w:tcW w:w="2600" w:type="dxa"/>
            <w:vAlign w:val="bottom"/>
            <w:tcBorders>
              <w:left w:val="single" w:sz="8" w:color="auto"/>
            </w:tcBorders>
            <w:shd w:val="clear" w:color="auto" w:fill="E6E6E6"/>
          </w:tcPr>
          <w:p>
            <w:pPr>
              <w:spacing w:after="0"/>
              <w:rPr>
                <w:sz w:val="20"/>
                <w:szCs w:val="20"/>
                <w:color w:val="auto"/>
              </w:rPr>
            </w:pPr>
          </w:p>
        </w:tc>
        <w:tc>
          <w:tcPr>
            <w:tcW w:w="8700" w:type="dxa"/>
            <w:vAlign w:val="bottom"/>
            <w:tcBorders>
              <w:right w:val="single" w:sz="8" w:color="auto"/>
            </w:tcBorders>
            <w:shd w:val="clear" w:color="auto" w:fill="E6E6E6"/>
          </w:tcPr>
          <w:p>
            <w:pPr>
              <w:ind w:left="1360"/>
              <w:spacing w:after="0"/>
              <w:rPr>
                <w:sz w:val="20"/>
                <w:szCs w:val="20"/>
                <w:color w:val="auto"/>
              </w:rPr>
            </w:pPr>
            <w:r>
              <w:rPr>
                <w:rFonts w:ascii="Times New Roman" w:cs="Times New Roman" w:eastAsia="Times New Roman" w:hAnsi="Times New Roman"/>
                <w:sz w:val="20"/>
                <w:szCs w:val="20"/>
                <w:b w:val="1"/>
                <w:bCs w:val="1"/>
                <w:color w:val="auto"/>
              </w:rPr>
              <w:t>REQUIREMENTS AND STANDARDS</w:t>
            </w:r>
          </w:p>
        </w:tc>
      </w:tr>
      <w:tr>
        <w:trPr>
          <w:trHeight w:val="160"/>
        </w:trPr>
        <w:tc>
          <w:tcPr>
            <w:tcW w:w="2600" w:type="dxa"/>
            <w:vAlign w:val="bottom"/>
            <w:tcBorders>
              <w:left w:val="single" w:sz="8" w:color="auto"/>
            </w:tcBorders>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Reference Number:</w:t>
            </w:r>
          </w:p>
        </w:tc>
        <w:tc>
          <w:tcPr>
            <w:tcW w:w="8700" w:type="dxa"/>
            <w:vAlign w:val="bottom"/>
            <w:tcBorders>
              <w:right w:val="single" w:sz="8" w:color="auto"/>
            </w:tcBorders>
          </w:tcPr>
          <w:p>
            <w:pPr>
              <w:ind w:left="3040"/>
              <w:spacing w:after="0" w:line="160" w:lineRule="exact"/>
              <w:rPr>
                <w:sz w:val="20"/>
                <w:szCs w:val="20"/>
                <w:color w:val="auto"/>
              </w:rPr>
            </w:pPr>
            <w:r>
              <w:rPr>
                <w:rFonts w:ascii="Times New Roman" w:cs="Times New Roman" w:eastAsia="Times New Roman" w:hAnsi="Times New Roman"/>
                <w:sz w:val="16"/>
                <w:szCs w:val="16"/>
                <w:b w:val="1"/>
                <w:bCs w:val="1"/>
                <w:color w:val="auto"/>
              </w:rPr>
              <w:t>Issuing Department: Legal</w:t>
            </w:r>
          </w:p>
        </w:tc>
      </w:tr>
      <w:tr>
        <w:trPr>
          <w:trHeight w:val="181"/>
        </w:trPr>
        <w:tc>
          <w:tcPr>
            <w:tcW w:w="260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Effective Date:  10.2021</w:t>
            </w:r>
          </w:p>
        </w:tc>
        <w:tc>
          <w:tcPr>
            <w:tcW w:w="8700" w:type="dxa"/>
            <w:vAlign w:val="bottom"/>
            <w:tcBorders>
              <w:right w:val="single" w:sz="8" w:color="auto"/>
            </w:tcBorders>
          </w:tcPr>
          <w:p>
            <w:pPr>
              <w:ind w:left="3040"/>
              <w:spacing w:after="0" w:line="181" w:lineRule="exact"/>
              <w:rPr>
                <w:sz w:val="20"/>
                <w:szCs w:val="20"/>
                <w:color w:val="auto"/>
              </w:rPr>
            </w:pPr>
            <w:r>
              <w:rPr>
                <w:rFonts w:ascii="Times New Roman" w:cs="Times New Roman" w:eastAsia="Times New Roman" w:hAnsi="Times New Roman"/>
                <w:sz w:val="16"/>
                <w:szCs w:val="16"/>
                <w:b w:val="1"/>
                <w:bCs w:val="1"/>
                <w:color w:val="auto"/>
              </w:rPr>
              <w:t>Approved by: Josh Sherbin</w:t>
            </w:r>
          </w:p>
        </w:tc>
      </w:tr>
      <w:tr>
        <w:trPr>
          <w:trHeight w:val="201"/>
        </w:trPr>
        <w:tc>
          <w:tcPr>
            <w:tcW w:w="26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Version:</w:t>
            </w:r>
          </w:p>
        </w:tc>
        <w:tc>
          <w:tcPr>
            <w:tcW w:w="8700" w:type="dxa"/>
            <w:vAlign w:val="bottom"/>
            <w:tcBorders>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Title: Chief Legal, Compliance and Administrative Officer</w:t>
            </w:r>
          </w:p>
        </w:tc>
      </w:tr>
    </w:tbl>
    <w:p>
      <w:pPr>
        <w:spacing w:after="0" w:line="3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5.4</w:t>
        <w:tab/>
        <w:t>Reporting Requirements for Covered Executives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Covered Executives have additional reporting obligations under the U.S. securities laws and are generally subject to liability for all profits resulting from any purchase and sale of Company securities within a six-month period. The reporting obligations under the U.S. securities laws generally include:</w:t>
      </w:r>
    </w:p>
    <w:p>
      <w:pPr>
        <w:spacing w:after="0" w:line="125" w:lineRule="exact"/>
        <w:rPr>
          <w:sz w:val="20"/>
          <w:szCs w:val="20"/>
          <w:color w:val="auto"/>
        </w:rPr>
      </w:pPr>
    </w:p>
    <w:p>
      <w:pPr>
        <w:ind w:left="640" w:hanging="253"/>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10 days of becoming a Covered Executive, filing a Form 3 regarding the Covered Executive’s beneficial ownership of Company securities,</w:t>
      </w:r>
    </w:p>
    <w:p>
      <w:pPr>
        <w:spacing w:after="0" w:line="20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2 days after any stock transaction or other change in the Covered Executive’s beneficial ownership of Company securities, filing a Form 4, and</w:t>
      </w:r>
    </w:p>
    <w:p>
      <w:pPr>
        <w:spacing w:after="0" w:line="20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45 days after the close of the Company’s fiscal year, filing a Form 5 covering previously unreported transactions.</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Company’s Chief Legal Officer will file the proper reports of behalf of Covered Executives who pre-clear transactions and provide notification of completion of a transaction. The Company must report late or missed filings in its annual proxy statement, and both the Company and the Covered Executive may have liability for late or missed filings.</w:t>
      </w:r>
    </w:p>
    <w:p>
      <w:pPr>
        <w:spacing w:after="0" w:line="1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5.5</w:t>
        <w:tab/>
        <w:t>Broker Notification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Covered Executives must advise any broker used in connection with a transaction covered by this Policy of the obligations under this Policy, including (x) not to execute any transaction in Company securities without pre-clearance under Section 4(c), and (y) to report each transaction to the Chief Legal Officer immediately following the execution of a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716153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3"/>
          <w:szCs w:val="13"/>
          <w:b w:val="1"/>
          <w:bCs w:val="1"/>
          <w:color w:val="auto"/>
        </w:rPr>
        <w:t>FOR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746250" cy="182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1746250" cy="182245"/>
                    </a:xfrm>
                    <a:prstGeom prst="rect">
                      <a:avLst/>
                    </a:prstGeom>
                    <a:noFill/>
                  </pic:spPr>
                </pic:pic>
              </a:graphicData>
            </a:graphic>
          </wp:anchor>
        </w:drawing>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510"/>
        </w:trPr>
        <w:tc>
          <w:tcPr>
            <w:tcW w:w="260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8"/>
                <w:szCs w:val="28"/>
                <w:b w:val="1"/>
                <w:bCs w:val="1"/>
                <w:color w:val="auto"/>
              </w:rPr>
              <w:t>Shyft Group Insider Trading Policy</w:t>
            </w:r>
          </w:p>
        </w:tc>
      </w:tr>
      <w:tr>
        <w:trPr>
          <w:trHeight w:val="234"/>
        </w:trPr>
        <w:tc>
          <w:tcPr>
            <w:tcW w:w="2600" w:type="dxa"/>
            <w:vAlign w:val="bottom"/>
            <w:tcBorders>
              <w:left w:val="single" w:sz="8" w:color="auto"/>
            </w:tcBorders>
            <w:shd w:val="clear" w:color="auto" w:fill="E6E6E6"/>
          </w:tcPr>
          <w:p>
            <w:pPr>
              <w:spacing w:after="0"/>
              <w:rPr>
                <w:sz w:val="20"/>
                <w:szCs w:val="20"/>
                <w:color w:val="auto"/>
              </w:rPr>
            </w:pPr>
          </w:p>
        </w:tc>
        <w:tc>
          <w:tcPr>
            <w:tcW w:w="8700" w:type="dxa"/>
            <w:vAlign w:val="bottom"/>
            <w:tcBorders>
              <w:right w:val="single" w:sz="8" w:color="auto"/>
            </w:tcBorders>
            <w:shd w:val="clear" w:color="auto" w:fill="E6E6E6"/>
          </w:tcPr>
          <w:p>
            <w:pPr>
              <w:ind w:left="1360"/>
              <w:spacing w:after="0"/>
              <w:rPr>
                <w:sz w:val="20"/>
                <w:szCs w:val="20"/>
                <w:color w:val="auto"/>
              </w:rPr>
            </w:pPr>
            <w:r>
              <w:rPr>
                <w:rFonts w:ascii="Times New Roman" w:cs="Times New Roman" w:eastAsia="Times New Roman" w:hAnsi="Times New Roman"/>
                <w:sz w:val="20"/>
                <w:szCs w:val="20"/>
                <w:b w:val="1"/>
                <w:bCs w:val="1"/>
                <w:color w:val="auto"/>
              </w:rPr>
              <w:t>REQUIREMENTS AND STANDARDS</w:t>
            </w:r>
          </w:p>
        </w:tc>
      </w:tr>
      <w:tr>
        <w:trPr>
          <w:trHeight w:val="160"/>
        </w:trPr>
        <w:tc>
          <w:tcPr>
            <w:tcW w:w="2600" w:type="dxa"/>
            <w:vAlign w:val="bottom"/>
            <w:tcBorders>
              <w:left w:val="single" w:sz="8" w:color="auto"/>
            </w:tcBorders>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Reference Number:</w:t>
            </w:r>
          </w:p>
        </w:tc>
        <w:tc>
          <w:tcPr>
            <w:tcW w:w="8700" w:type="dxa"/>
            <w:vAlign w:val="bottom"/>
            <w:tcBorders>
              <w:right w:val="single" w:sz="8" w:color="auto"/>
            </w:tcBorders>
          </w:tcPr>
          <w:p>
            <w:pPr>
              <w:ind w:left="3040"/>
              <w:spacing w:after="0" w:line="160" w:lineRule="exact"/>
              <w:rPr>
                <w:sz w:val="20"/>
                <w:szCs w:val="20"/>
                <w:color w:val="auto"/>
              </w:rPr>
            </w:pPr>
            <w:r>
              <w:rPr>
                <w:rFonts w:ascii="Times New Roman" w:cs="Times New Roman" w:eastAsia="Times New Roman" w:hAnsi="Times New Roman"/>
                <w:sz w:val="16"/>
                <w:szCs w:val="16"/>
                <w:b w:val="1"/>
                <w:bCs w:val="1"/>
                <w:color w:val="auto"/>
              </w:rPr>
              <w:t>Issuing Department: Legal</w:t>
            </w:r>
          </w:p>
        </w:tc>
      </w:tr>
      <w:tr>
        <w:trPr>
          <w:trHeight w:val="181"/>
        </w:trPr>
        <w:tc>
          <w:tcPr>
            <w:tcW w:w="260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Effective Date:  10.2021</w:t>
            </w:r>
          </w:p>
        </w:tc>
        <w:tc>
          <w:tcPr>
            <w:tcW w:w="8700" w:type="dxa"/>
            <w:vAlign w:val="bottom"/>
            <w:tcBorders>
              <w:right w:val="single" w:sz="8" w:color="auto"/>
            </w:tcBorders>
          </w:tcPr>
          <w:p>
            <w:pPr>
              <w:ind w:left="3040"/>
              <w:spacing w:after="0" w:line="181" w:lineRule="exact"/>
              <w:rPr>
                <w:sz w:val="20"/>
                <w:szCs w:val="20"/>
                <w:color w:val="auto"/>
              </w:rPr>
            </w:pPr>
            <w:r>
              <w:rPr>
                <w:rFonts w:ascii="Times New Roman" w:cs="Times New Roman" w:eastAsia="Times New Roman" w:hAnsi="Times New Roman"/>
                <w:sz w:val="16"/>
                <w:szCs w:val="16"/>
                <w:b w:val="1"/>
                <w:bCs w:val="1"/>
                <w:color w:val="auto"/>
              </w:rPr>
              <w:t>Approved by: Josh Sherbin</w:t>
            </w:r>
          </w:p>
        </w:tc>
      </w:tr>
      <w:tr>
        <w:trPr>
          <w:trHeight w:val="201"/>
        </w:trPr>
        <w:tc>
          <w:tcPr>
            <w:tcW w:w="26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Version:</w:t>
            </w:r>
          </w:p>
        </w:tc>
        <w:tc>
          <w:tcPr>
            <w:tcW w:w="8700" w:type="dxa"/>
            <w:vAlign w:val="bottom"/>
            <w:tcBorders>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Title: Chief Legal, Compliance and Administrative Officer</w:t>
            </w:r>
          </w:p>
        </w:tc>
      </w:tr>
    </w:tbl>
    <w:p>
      <w:pPr>
        <w:spacing w:after="0" w:line="3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6.0</w:t>
        <w:tab/>
        <w:t>CERTAIN TRANSACTIONS NOT SUBJECT TO TRADING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5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6.1</w:t>
        <w:tab/>
        <w:t>10b5-1 Trading Plans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SEC Rule 10b5-1 allows Insiders to enter into written plans with a broker or other third party to effect the purchase or sale of securities outside of a Window. If done properly, the Insider will have an affirmative defense to insider trading allegations. The plan must be entered into during a Window and at a time when the Insider is not otherwise in possession of material non-public information. The plan must meet certain very specific requirements pursuant to Rule 10b5-1 as well as the Company’s “Guidelines for Rule 10b5-1 Plans,” which may be obtained from the Chief Legal Officer. All 10b5-1 trading plans entered into by Covered Executives must be reviewed and pre-cleared in writing by the Chief Legal Officer. Trades effected by a Covered Executive pursuant to an authorized 10b5-1 plan generally must still be reported on Form 4 within two trading days of the trade.</w:t>
      </w:r>
    </w:p>
    <w:p>
      <w:pPr>
        <w:spacing w:after="0" w:line="14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6.2</w:t>
        <w:tab/>
        <w:t>Withholding of Shares upon a Vesting</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Policy generally does not apply to withholding of Company shares solely to satisfy a tax withholding requirement upon the vesting of stock appreciation rights, restricted stock, or restricted stock units. However, a Form 4 will typically need to be filed to reflect such withholding.</w:t>
      </w:r>
    </w:p>
    <w:p>
      <w:pPr>
        <w:spacing w:after="0" w:line="1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6.3</w:t>
        <w:tab/>
        <w:t>Employee Stock Purchase Plan</w:t>
      </w:r>
    </w:p>
    <w:p>
      <w:pPr>
        <w:spacing w:after="0" w:line="18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Neither the election to participate in the Company Employee Stock Purchase Plan ("ESPP”), nor the acquisition of stock under the ESPP, is subject to the trading restrictions set forth in this Policy.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However, shares of stock acquired under the ESPP by Covered Executives generally must be included on Forms 4 or 5.</w:t>
      </w:r>
    </w:p>
    <w:p>
      <w:pPr>
        <w:spacing w:after="0" w:line="15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6.4</w:t>
        <w:tab/>
        <w:t>Director Stock Purchase Plan</w:t>
      </w:r>
    </w:p>
    <w:p>
      <w:pPr>
        <w:spacing w:after="0" w:line="18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Neither the election to participate in the Company Director Stock Purchase Plan ("DSPP”), nor the acquisition of stock under the DSPP, is subject to the trading restrictions set forth in this Policy.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However, acquisitions of stock acquired under the DSPP generally must be reported on Form 4 within two trading days after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01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5010" cy="6985"/>
                    </a:xfrm>
                    <a:prstGeom prst="rect">
                      <a:avLst/>
                    </a:prstGeom>
                    <a:noFill/>
                  </pic:spPr>
                </pic:pic>
              </a:graphicData>
            </a:graphic>
          </wp:anchor>
        </w:drawing>
      </w:r>
    </w:p>
    <w:p>
      <w:pPr>
        <w:spacing w:after="0" w:line="311" w:lineRule="exact"/>
        <w:rPr>
          <w:sz w:val="20"/>
          <w:szCs w:val="20"/>
          <w:color w:val="auto"/>
        </w:rPr>
      </w:pPr>
    </w:p>
    <w:p>
      <w:pPr>
        <w:ind w:left="100" w:hanging="95"/>
        <w:spacing w:after="0"/>
        <w:tabs>
          <w:tab w:leader="none" w:pos="10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This rule applies only as long as the Company does not fund the ESPP through open market purchases.</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This rule applies only as long as the Company does not fund the DSPP through open market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16153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3"/>
          <w:szCs w:val="13"/>
          <w:b w:val="1"/>
          <w:bCs w:val="1"/>
          <w:color w:val="auto"/>
        </w:rPr>
        <w:t>FOR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746250" cy="182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1746250" cy="182245"/>
                    </a:xfrm>
                    <a:prstGeom prst="rect">
                      <a:avLst/>
                    </a:prstGeom>
                    <a:noFill/>
                  </pic:spPr>
                </pic:pic>
              </a:graphicData>
            </a:graphic>
          </wp:anchor>
        </w:drawing>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510"/>
        </w:trPr>
        <w:tc>
          <w:tcPr>
            <w:tcW w:w="260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8"/>
                <w:szCs w:val="28"/>
                <w:b w:val="1"/>
                <w:bCs w:val="1"/>
                <w:color w:val="auto"/>
              </w:rPr>
              <w:t>Shyft Group Insider Trading Policy</w:t>
            </w:r>
          </w:p>
        </w:tc>
      </w:tr>
      <w:tr>
        <w:trPr>
          <w:trHeight w:val="234"/>
        </w:trPr>
        <w:tc>
          <w:tcPr>
            <w:tcW w:w="2600" w:type="dxa"/>
            <w:vAlign w:val="bottom"/>
            <w:tcBorders>
              <w:left w:val="single" w:sz="8" w:color="auto"/>
            </w:tcBorders>
            <w:shd w:val="clear" w:color="auto" w:fill="E6E6E6"/>
          </w:tcPr>
          <w:p>
            <w:pPr>
              <w:spacing w:after="0"/>
              <w:rPr>
                <w:sz w:val="20"/>
                <w:szCs w:val="20"/>
                <w:color w:val="auto"/>
              </w:rPr>
            </w:pPr>
          </w:p>
        </w:tc>
        <w:tc>
          <w:tcPr>
            <w:tcW w:w="8700" w:type="dxa"/>
            <w:vAlign w:val="bottom"/>
            <w:tcBorders>
              <w:right w:val="single" w:sz="8" w:color="auto"/>
            </w:tcBorders>
            <w:shd w:val="clear" w:color="auto" w:fill="E6E6E6"/>
          </w:tcPr>
          <w:p>
            <w:pPr>
              <w:ind w:left="1360"/>
              <w:spacing w:after="0"/>
              <w:rPr>
                <w:sz w:val="20"/>
                <w:szCs w:val="20"/>
                <w:color w:val="auto"/>
              </w:rPr>
            </w:pPr>
            <w:r>
              <w:rPr>
                <w:rFonts w:ascii="Times New Roman" w:cs="Times New Roman" w:eastAsia="Times New Roman" w:hAnsi="Times New Roman"/>
                <w:sz w:val="20"/>
                <w:szCs w:val="20"/>
                <w:b w:val="1"/>
                <w:bCs w:val="1"/>
                <w:color w:val="auto"/>
              </w:rPr>
              <w:t>REQUIREMENTS AND STANDARDS</w:t>
            </w:r>
          </w:p>
        </w:tc>
      </w:tr>
      <w:tr>
        <w:trPr>
          <w:trHeight w:val="160"/>
        </w:trPr>
        <w:tc>
          <w:tcPr>
            <w:tcW w:w="2600" w:type="dxa"/>
            <w:vAlign w:val="bottom"/>
            <w:tcBorders>
              <w:left w:val="single" w:sz="8" w:color="auto"/>
            </w:tcBorders>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Reference Number:</w:t>
            </w:r>
          </w:p>
        </w:tc>
        <w:tc>
          <w:tcPr>
            <w:tcW w:w="8700" w:type="dxa"/>
            <w:vAlign w:val="bottom"/>
            <w:tcBorders>
              <w:right w:val="single" w:sz="8" w:color="auto"/>
            </w:tcBorders>
          </w:tcPr>
          <w:p>
            <w:pPr>
              <w:ind w:left="3040"/>
              <w:spacing w:after="0" w:line="160" w:lineRule="exact"/>
              <w:rPr>
                <w:sz w:val="20"/>
                <w:szCs w:val="20"/>
                <w:color w:val="auto"/>
              </w:rPr>
            </w:pPr>
            <w:r>
              <w:rPr>
                <w:rFonts w:ascii="Times New Roman" w:cs="Times New Roman" w:eastAsia="Times New Roman" w:hAnsi="Times New Roman"/>
                <w:sz w:val="16"/>
                <w:szCs w:val="16"/>
                <w:b w:val="1"/>
                <w:bCs w:val="1"/>
                <w:color w:val="auto"/>
              </w:rPr>
              <w:t>Issuing Department: Legal</w:t>
            </w:r>
          </w:p>
        </w:tc>
      </w:tr>
      <w:tr>
        <w:trPr>
          <w:trHeight w:val="181"/>
        </w:trPr>
        <w:tc>
          <w:tcPr>
            <w:tcW w:w="260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Effective Date:  10.2021</w:t>
            </w:r>
          </w:p>
        </w:tc>
        <w:tc>
          <w:tcPr>
            <w:tcW w:w="8700" w:type="dxa"/>
            <w:vAlign w:val="bottom"/>
            <w:tcBorders>
              <w:right w:val="single" w:sz="8" w:color="auto"/>
            </w:tcBorders>
          </w:tcPr>
          <w:p>
            <w:pPr>
              <w:ind w:left="3040"/>
              <w:spacing w:after="0" w:line="181" w:lineRule="exact"/>
              <w:rPr>
                <w:sz w:val="20"/>
                <w:szCs w:val="20"/>
                <w:color w:val="auto"/>
              </w:rPr>
            </w:pPr>
            <w:r>
              <w:rPr>
                <w:rFonts w:ascii="Times New Roman" w:cs="Times New Roman" w:eastAsia="Times New Roman" w:hAnsi="Times New Roman"/>
                <w:sz w:val="16"/>
                <w:szCs w:val="16"/>
                <w:b w:val="1"/>
                <w:bCs w:val="1"/>
                <w:color w:val="auto"/>
              </w:rPr>
              <w:t>Approved by: Josh Sherbin</w:t>
            </w:r>
          </w:p>
        </w:tc>
      </w:tr>
      <w:tr>
        <w:trPr>
          <w:trHeight w:val="201"/>
        </w:trPr>
        <w:tc>
          <w:tcPr>
            <w:tcW w:w="26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Version:</w:t>
            </w:r>
          </w:p>
        </w:tc>
        <w:tc>
          <w:tcPr>
            <w:tcW w:w="8700" w:type="dxa"/>
            <w:vAlign w:val="bottom"/>
            <w:tcBorders>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Title: Chief Legal, Compliance and Administrative Officer</w:t>
            </w:r>
          </w:p>
        </w:tc>
      </w:tr>
    </w:tbl>
    <w:p>
      <w:pPr>
        <w:spacing w:after="0" w:line="3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6.5</w:t>
        <w:tab/>
        <w:t>Bona-Fide Gifts</w:t>
      </w:r>
    </w:p>
    <w:p>
      <w:pPr>
        <w:spacing w:after="0" w:line="181"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This Policy does not prohibit bona-fide gifts (including to family members or charitable organizations) during time periods outside of a Window, unless the Covered Executive making the gift has reason to believe the recipient intends to sell the securities while the Covered Executive is in possession of material non-public information regarding the Company. However, all gifts of Company securities by Covered Executives are subject to the pre-clearance requirements of Section 4(c) above. A disposition of securities pursuant to a bona-fide gift must still be reported on Form 4 within two trading days of the gift, while an acquisition of securities pursuant to a bona-fide gift is generally eligible to be reported on Form 5 instead of Form 4.</w:t>
      </w:r>
    </w:p>
    <w:p>
      <w:pPr>
        <w:spacing w:after="0" w:line="13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7.0</w:t>
        <w:tab/>
        <w:t>OTHER PROHIBITED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5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7.1</w:t>
        <w:tab/>
        <w:t>No Trading in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Insiders are prohibited from trading in options (such as put and call options) on the Company’s securities.</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7.2</w:t>
        <w:tab/>
        <w:t>No Short Sales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Insider may engage in short sales of Company securities.</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7.3</w:t>
        <w:tab/>
        <w:t>No Hedging</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No Insider may engage in any transaction intended to hedge or offset a decrease in the value of Company securities, including, but not limited to, forward sale or purchase contracts, equity swaps, collars, or exchange funds.</w:t>
      </w:r>
    </w:p>
    <w:p>
      <w:pPr>
        <w:spacing w:after="0" w:line="1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7.4</w:t>
        <w:tab/>
        <w:t>No Margin Accounts or Pledging of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Members of the Company’s Window Group may not purchase Company securities on margin, hold Company securities in a margin account or pledge Company securities as collateral for a loan.</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8.0</w:t>
        <w:tab/>
        <w:t>PENALTIES FOR VIOLATIONS OF INSIDER TRADING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Individuals who trade on material non-public information (or tip information to others who trade) or otherwise violate this Policy can be liable for civil and criminal penalties, in addition to legal and disciplinary action from the Company, including dismissal for cause. An Insider's violation of this Policy can also subject the Company to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716153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3"/>
          <w:szCs w:val="13"/>
          <w:b w:val="1"/>
          <w:bCs w:val="1"/>
          <w:color w:val="auto"/>
        </w:rPr>
        <w:t>FOR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746250" cy="182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1746250" cy="182245"/>
                    </a:xfrm>
                    <a:prstGeom prst="rect">
                      <a:avLst/>
                    </a:prstGeom>
                    <a:noFill/>
                  </pic:spPr>
                </pic:pic>
              </a:graphicData>
            </a:graphic>
          </wp:anchor>
        </w:drawing>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510"/>
        </w:trPr>
        <w:tc>
          <w:tcPr>
            <w:tcW w:w="260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8"/>
                <w:szCs w:val="28"/>
                <w:b w:val="1"/>
                <w:bCs w:val="1"/>
                <w:color w:val="auto"/>
              </w:rPr>
              <w:t>Shyft Group Insider Trading Policy</w:t>
            </w:r>
          </w:p>
        </w:tc>
      </w:tr>
      <w:tr>
        <w:trPr>
          <w:trHeight w:val="234"/>
        </w:trPr>
        <w:tc>
          <w:tcPr>
            <w:tcW w:w="2600" w:type="dxa"/>
            <w:vAlign w:val="bottom"/>
            <w:tcBorders>
              <w:left w:val="single" w:sz="8" w:color="auto"/>
            </w:tcBorders>
            <w:shd w:val="clear" w:color="auto" w:fill="E6E6E6"/>
          </w:tcPr>
          <w:p>
            <w:pPr>
              <w:spacing w:after="0"/>
              <w:rPr>
                <w:sz w:val="20"/>
                <w:szCs w:val="20"/>
                <w:color w:val="auto"/>
              </w:rPr>
            </w:pPr>
          </w:p>
        </w:tc>
        <w:tc>
          <w:tcPr>
            <w:tcW w:w="8700" w:type="dxa"/>
            <w:vAlign w:val="bottom"/>
            <w:tcBorders>
              <w:right w:val="single" w:sz="8" w:color="auto"/>
            </w:tcBorders>
            <w:shd w:val="clear" w:color="auto" w:fill="E6E6E6"/>
          </w:tcPr>
          <w:p>
            <w:pPr>
              <w:ind w:left="1360"/>
              <w:spacing w:after="0"/>
              <w:rPr>
                <w:sz w:val="20"/>
                <w:szCs w:val="20"/>
                <w:color w:val="auto"/>
              </w:rPr>
            </w:pPr>
            <w:r>
              <w:rPr>
                <w:rFonts w:ascii="Times New Roman" w:cs="Times New Roman" w:eastAsia="Times New Roman" w:hAnsi="Times New Roman"/>
                <w:sz w:val="20"/>
                <w:szCs w:val="20"/>
                <w:b w:val="1"/>
                <w:bCs w:val="1"/>
                <w:color w:val="auto"/>
              </w:rPr>
              <w:t>REQUIREMENTS AND STANDARDS</w:t>
            </w:r>
          </w:p>
        </w:tc>
      </w:tr>
      <w:tr>
        <w:trPr>
          <w:trHeight w:val="160"/>
        </w:trPr>
        <w:tc>
          <w:tcPr>
            <w:tcW w:w="2600" w:type="dxa"/>
            <w:vAlign w:val="bottom"/>
            <w:tcBorders>
              <w:left w:val="single" w:sz="8" w:color="auto"/>
            </w:tcBorders>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Reference Number:</w:t>
            </w:r>
          </w:p>
        </w:tc>
        <w:tc>
          <w:tcPr>
            <w:tcW w:w="8700" w:type="dxa"/>
            <w:vAlign w:val="bottom"/>
            <w:tcBorders>
              <w:right w:val="single" w:sz="8" w:color="auto"/>
            </w:tcBorders>
          </w:tcPr>
          <w:p>
            <w:pPr>
              <w:ind w:left="3040"/>
              <w:spacing w:after="0" w:line="160" w:lineRule="exact"/>
              <w:rPr>
                <w:sz w:val="20"/>
                <w:szCs w:val="20"/>
                <w:color w:val="auto"/>
              </w:rPr>
            </w:pPr>
            <w:r>
              <w:rPr>
                <w:rFonts w:ascii="Times New Roman" w:cs="Times New Roman" w:eastAsia="Times New Roman" w:hAnsi="Times New Roman"/>
                <w:sz w:val="16"/>
                <w:szCs w:val="16"/>
                <w:b w:val="1"/>
                <w:bCs w:val="1"/>
                <w:color w:val="auto"/>
              </w:rPr>
              <w:t>Issuing Department: Legal</w:t>
            </w:r>
          </w:p>
        </w:tc>
      </w:tr>
      <w:tr>
        <w:trPr>
          <w:trHeight w:val="181"/>
        </w:trPr>
        <w:tc>
          <w:tcPr>
            <w:tcW w:w="260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Effective Date:  10.2021</w:t>
            </w:r>
          </w:p>
        </w:tc>
        <w:tc>
          <w:tcPr>
            <w:tcW w:w="8700" w:type="dxa"/>
            <w:vAlign w:val="bottom"/>
            <w:tcBorders>
              <w:right w:val="single" w:sz="8" w:color="auto"/>
            </w:tcBorders>
          </w:tcPr>
          <w:p>
            <w:pPr>
              <w:ind w:left="3040"/>
              <w:spacing w:after="0" w:line="181" w:lineRule="exact"/>
              <w:rPr>
                <w:sz w:val="20"/>
                <w:szCs w:val="20"/>
                <w:color w:val="auto"/>
              </w:rPr>
            </w:pPr>
            <w:r>
              <w:rPr>
                <w:rFonts w:ascii="Times New Roman" w:cs="Times New Roman" w:eastAsia="Times New Roman" w:hAnsi="Times New Roman"/>
                <w:sz w:val="16"/>
                <w:szCs w:val="16"/>
                <w:b w:val="1"/>
                <w:bCs w:val="1"/>
                <w:color w:val="auto"/>
              </w:rPr>
              <w:t>Approved by: Josh Sherbin</w:t>
            </w:r>
          </w:p>
        </w:tc>
      </w:tr>
      <w:tr>
        <w:trPr>
          <w:trHeight w:val="201"/>
        </w:trPr>
        <w:tc>
          <w:tcPr>
            <w:tcW w:w="26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Version:</w:t>
            </w:r>
          </w:p>
        </w:tc>
        <w:tc>
          <w:tcPr>
            <w:tcW w:w="8700" w:type="dxa"/>
            <w:vAlign w:val="bottom"/>
            <w:tcBorders>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Title: Chief Legal, Compliance and Administrative Officer</w:t>
            </w:r>
          </w:p>
        </w:tc>
      </w:tr>
    </w:tbl>
    <w:p>
      <w:pPr>
        <w:spacing w:after="0" w:line="3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9.0</w:t>
        <w:tab/>
        <w:t>PERSONAL RESPONSIBILITY FOR COMPLIANCE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Any person who has any questions about specific transactions may obtain additional guidance from the Chief Legal Officer. However, the ultimate responsibility for adhering to this Policy, complying with all applicable laws and regulations, and avoiding improper transactions rests with the individual. Any action on the part of the Company or any employee pursuant to this Policy does not in any way constitute legal advice or insulate an Insider from liability under applicable securities laws. Importantly, an individual is still responsible for ensuring a transaction in Company securities is appropriate and fully compliant even if the transaction has received pre-clearance from the Company.</w:t>
      </w:r>
    </w:p>
    <w:p>
      <w:pPr>
        <w:spacing w:after="0" w:line="13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10.0</w:t>
        <w:tab/>
        <w:t>RESPONSIBILITIES AND VERSION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61530" cy="107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Chief Legal Officer is responsible for interpreting and applying this Policy, as required.</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If the Chief Legal Officer is unavailable for any reason, authority delegated by this Policy to the Chief Legal Officer may be exercised by either the Chief Executive Officer or the Chief Financial Officer.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amendments to this Policy must be approved by the Board of Directors of The Shyft Group, Inc.</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3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Version #</w:t>
            </w:r>
          </w:p>
        </w:tc>
        <w:tc>
          <w:tcPr>
            <w:tcW w:w="16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49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3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Revised by</w:t>
            </w:r>
          </w:p>
        </w:tc>
      </w:tr>
      <w:tr>
        <w:trPr>
          <w:trHeight w:val="156"/>
        </w:trPr>
        <w:tc>
          <w:tcPr>
            <w:tcW w:w="1360" w:type="dxa"/>
            <w:vAlign w:val="bottom"/>
            <w:tcBorders>
              <w:right w:val="single" w:sz="8" w:color="auto"/>
            </w:tcBorders>
          </w:tcPr>
          <w:p>
            <w:pPr>
              <w:ind w:left="40"/>
              <w:spacing w:after="0" w:line="157" w:lineRule="exact"/>
              <w:rPr>
                <w:sz w:val="20"/>
                <w:szCs w:val="20"/>
                <w:color w:val="auto"/>
              </w:rPr>
            </w:pPr>
            <w:r>
              <w:rPr>
                <w:rFonts w:ascii="Times New Roman" w:cs="Times New Roman" w:eastAsia="Times New Roman" w:hAnsi="Times New Roman"/>
                <w:sz w:val="14"/>
                <w:szCs w:val="14"/>
                <w:color w:val="auto"/>
              </w:rPr>
              <w:t>#2</w:t>
            </w:r>
          </w:p>
        </w:tc>
        <w:tc>
          <w:tcPr>
            <w:tcW w:w="1600" w:type="dxa"/>
            <w:vAlign w:val="bottom"/>
            <w:tcBorders>
              <w:right w:val="single" w:sz="8" w:color="auto"/>
            </w:tcBorders>
          </w:tcPr>
          <w:p>
            <w:pPr>
              <w:ind w:left="20"/>
              <w:spacing w:after="0" w:line="157" w:lineRule="exact"/>
              <w:rPr>
                <w:sz w:val="20"/>
                <w:szCs w:val="20"/>
                <w:color w:val="auto"/>
              </w:rPr>
            </w:pPr>
            <w:r>
              <w:rPr>
                <w:rFonts w:ascii="Times New Roman" w:cs="Times New Roman" w:eastAsia="Times New Roman" w:hAnsi="Times New Roman"/>
                <w:sz w:val="14"/>
                <w:szCs w:val="14"/>
                <w:color w:val="auto"/>
              </w:rPr>
              <w:t>02.2023</w:t>
            </w:r>
          </w:p>
        </w:tc>
        <w:tc>
          <w:tcPr>
            <w:tcW w:w="4980" w:type="dxa"/>
            <w:vAlign w:val="bottom"/>
            <w:tcBorders>
              <w:right w:val="single" w:sz="8" w:color="auto"/>
            </w:tcBorders>
          </w:tcPr>
          <w:p>
            <w:pPr>
              <w:ind w:left="20"/>
              <w:spacing w:after="0" w:line="157" w:lineRule="exact"/>
              <w:rPr>
                <w:sz w:val="20"/>
                <w:szCs w:val="20"/>
                <w:color w:val="auto"/>
              </w:rPr>
            </w:pPr>
            <w:r>
              <w:rPr>
                <w:rFonts w:ascii="Times New Roman" w:cs="Times New Roman" w:eastAsia="Times New Roman" w:hAnsi="Times New Roman"/>
                <w:sz w:val="14"/>
                <w:szCs w:val="14"/>
                <w:color w:val="auto"/>
              </w:rPr>
              <w:t>Procedures for directors, officers and employees to comply with federal securities</w:t>
            </w:r>
          </w:p>
        </w:tc>
        <w:tc>
          <w:tcPr>
            <w:tcW w:w="3360" w:type="dxa"/>
            <w:vAlign w:val="bottom"/>
            <w:tcBorders>
              <w:right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Shyft Group Legal</w:t>
            </w:r>
          </w:p>
        </w:tc>
      </w:tr>
      <w:tr>
        <w:trPr>
          <w:trHeight w:val="184"/>
        </w:trPr>
        <w:tc>
          <w:tcPr>
            <w:tcW w:w="136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4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laws and regulations.</w:t>
            </w:r>
          </w:p>
        </w:tc>
        <w:tc>
          <w:tcPr>
            <w:tcW w:w="3360" w:type="dxa"/>
            <w:vAlign w:val="bottom"/>
            <w:tcBorders>
              <w:right w:val="single" w:sz="8" w:color="auto"/>
            </w:tcBorders>
          </w:tcPr>
          <w:p>
            <w:pPr>
              <w:spacing w:after="0"/>
              <w:rPr>
                <w:sz w:val="16"/>
                <w:szCs w:val="16"/>
                <w:color w:val="auto"/>
              </w:rPr>
            </w:pPr>
          </w:p>
        </w:tc>
      </w:tr>
      <w:tr>
        <w:trPr>
          <w:trHeight w:val="22"/>
        </w:trPr>
        <w:tc>
          <w:tcPr>
            <w:tcW w:w="136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4980" w:type="dxa"/>
            <w:vAlign w:val="bottom"/>
            <w:tcBorders>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1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09.2024</w:t>
            </w:r>
          </w:p>
        </w:tc>
        <w:tc>
          <w:tcPr>
            <w:tcW w:w="4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Trading days update</w:t>
            </w:r>
          </w:p>
        </w:tc>
        <w:tc>
          <w:tcPr>
            <w:tcW w:w="3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Shyft Group Legal</w:t>
            </w:r>
          </w:p>
        </w:tc>
      </w:tr>
      <w:tr>
        <w:trPr>
          <w:trHeight w:val="22"/>
        </w:trPr>
        <w:tc>
          <w:tcPr>
            <w:tcW w:w="136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4980" w:type="dxa"/>
            <w:vAlign w:val="bottom"/>
            <w:tcBorders>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488" w:right="3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Shyft Group, Inc. Significant</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Subsidiary List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Shyft Group USA, Inc. (South Dakota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Shfyt Group Services, LLC (Indiana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Shyft Group Upfit Services, Inc. (Michigan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Shyft Group GTB, LLC (Michigan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Royal Truck Body LLC (California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Shyft Group DuraMag LLC (Michigan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Shyft Group EV Solutions, LLC (Michigan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Independent Truck Upfitters, LLC (Delaware member-managed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companies may also use trade names or other assumed names in the conduct of their business.</w:t>
      </w:r>
    </w:p>
    <w:p>
      <w:pPr>
        <w:spacing w:after="0" w:line="121" w:lineRule="exact"/>
        <w:rPr>
          <w:sz w:val="20"/>
          <w:szCs w:val="20"/>
          <w:color w:val="auto"/>
        </w:rPr>
      </w:pPr>
    </w:p>
    <w:p>
      <w:pPr>
        <w:ind w:left="180" w:hanging="175"/>
        <w:spacing w:after="0"/>
        <w:tabs>
          <w:tab w:leader="none" w:pos="18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As defined in Rule 1-02(w) of Regulation S-X, and other more significant operating companies as determined by management.</w:t>
      </w:r>
    </w:p>
    <w:p>
      <w:pPr>
        <w:sectPr>
          <w:pgSz w:w="11900" w:h="16838" w:orient="portrait"/>
          <w:cols w:equalWidth="0" w:num="1">
            <w:col w:w="11280"/>
          </w:cols>
          <w:pgMar w:left="300" w:top="123"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Statements No. 333-98083, No. 333-177088, No. 333-213581, No. 333-255240, and No. 333-273352 each on Form S-8 of our report dated February 20, 2025, relating to the consolidated financial statements and financial statement schedule of The Shyft Group, Inc. and the effectiveness of The Shyft Group, Inc.'s internal control over financial reporting appearing in this Annual Report on Form 10-K for the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Detroit, 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280"/>
          </w:cols>
          <w:pgMar w:left="300" w:top="123"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CEO 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Dunn, certify that:</w:t>
      </w:r>
    </w:p>
    <w:p>
      <w:pPr>
        <w:spacing w:after="0" w:line="179" w:lineRule="exact"/>
        <w:rPr>
          <w:sz w:val="20"/>
          <w:szCs w:val="20"/>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The Shyft Group, Inc.;</w:t>
      </w:r>
    </w:p>
    <w:p>
      <w:pPr>
        <w:spacing w:after="0" w:line="178" w:lineRule="exact"/>
        <w:rPr>
          <w:rFonts w:ascii="Times New Roman" w:cs="Times New Roman" w:eastAsia="Times New Roman" w:hAnsi="Times New Roman"/>
          <w:sz w:val="14"/>
          <w:szCs w:val="14"/>
          <w:color w:val="auto"/>
        </w:rPr>
      </w:pPr>
    </w:p>
    <w:p>
      <w:pPr>
        <w:ind w:left="160" w:hanging="155"/>
        <w:spacing w:after="0" w:line="287" w:lineRule="auto"/>
        <w:tabs>
          <w:tab w:leader="none" w:pos="16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160" w:hanging="155"/>
        <w:spacing w:after="0" w:line="287" w:lineRule="auto"/>
        <w:tabs>
          <w:tab w:leader="none" w:pos="14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60" w:hanging="155"/>
        <w:spacing w:after="0" w:line="287" w:lineRule="auto"/>
        <w:tabs>
          <w:tab w:leader="none" w:pos="15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sz w:val="20"/>
          <w:szCs w:val="20"/>
          <w:color w:val="auto"/>
        </w:rPr>
      </w:pPr>
    </w:p>
    <w:p>
      <w:pPr>
        <w:ind w:left="420" w:right="200" w:hanging="7"/>
        <w:spacing w:after="0" w:line="287" w:lineRule="auto"/>
        <w:tabs>
          <w:tab w:leader="none" w:pos="617"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420" w:right="200" w:hanging="7"/>
        <w:spacing w:after="0" w:line="287" w:lineRule="auto"/>
        <w:tabs>
          <w:tab w:leader="none" w:pos="62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420" w:right="200" w:hanging="7"/>
        <w:spacing w:after="0" w:line="287" w:lineRule="auto"/>
        <w:tabs>
          <w:tab w:leader="none" w:pos="627"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420" w:right="200" w:hanging="7"/>
        <w:spacing w:after="0" w:line="287" w:lineRule="auto"/>
        <w:tabs>
          <w:tab w:leader="none" w:pos="621"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160" w:hanging="155"/>
        <w:spacing w:after="0" w:line="287" w:lineRule="auto"/>
        <w:tabs>
          <w:tab w:leader="none" w:pos="1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420" w:right="200" w:hanging="7"/>
        <w:spacing w:after="0" w:line="287" w:lineRule="auto"/>
        <w:tabs>
          <w:tab w:leader="none" w:pos="607"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00" w:hanging="187"/>
        <w:spacing w:after="0"/>
        <w:tabs>
          <w:tab w:leader="none" w:pos="6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20, 2025</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John Dunn</w:t>
            </w:r>
          </w:p>
        </w:tc>
      </w:tr>
      <w:tr>
        <w:trPr>
          <w:trHeight w:val="146"/>
        </w:trPr>
        <w:tc>
          <w:tcPr>
            <w:tcW w:w="5900" w:type="dxa"/>
            <w:vAlign w:val="bottom"/>
          </w:tcPr>
          <w:p>
            <w:pPr>
              <w:spacing w:after="0"/>
              <w:rPr>
                <w:sz w:val="12"/>
                <w:szCs w:val="12"/>
                <w:color w:val="auto"/>
              </w:rPr>
            </w:pPr>
          </w:p>
        </w:tc>
        <w:tc>
          <w:tcPr>
            <w:tcW w:w="538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John Dunn</w:t>
            </w:r>
          </w:p>
        </w:tc>
      </w:tr>
      <w:tr>
        <w:trPr>
          <w:trHeight w:val="170"/>
        </w:trPr>
        <w:tc>
          <w:tcPr>
            <w:tcW w:w="590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590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The Shyft Group, Inc.</w:t>
            </w:r>
          </w:p>
        </w:tc>
      </w:tr>
    </w:tbl>
    <w:p>
      <w:pPr>
        <w:sectPr>
          <w:pgSz w:w="11900" w:h="16838" w:orient="portrait"/>
          <w:cols w:equalWidth="0" w:num="1">
            <w:col w:w="11280"/>
          </w:cols>
          <w:pgMar w:left="300" w:top="123"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CFO 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Scott M. Ocholik, certify that:</w:t>
      </w:r>
    </w:p>
    <w:p>
      <w:pPr>
        <w:spacing w:after="0" w:line="179" w:lineRule="exact"/>
        <w:rPr>
          <w:sz w:val="20"/>
          <w:szCs w:val="20"/>
          <w:color w:val="auto"/>
        </w:rPr>
      </w:pPr>
    </w:p>
    <w:p>
      <w:pPr>
        <w:ind w:left="140" w:hanging="135"/>
        <w:spacing w:after="0"/>
        <w:tabs>
          <w:tab w:leader="none" w:pos="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The Shyft Group, Inc.;</w:t>
      </w:r>
    </w:p>
    <w:p>
      <w:pPr>
        <w:spacing w:after="0" w:line="178" w:lineRule="exact"/>
        <w:rPr>
          <w:rFonts w:ascii="Times New Roman" w:cs="Times New Roman" w:eastAsia="Times New Roman" w:hAnsi="Times New Roman"/>
          <w:sz w:val="14"/>
          <w:szCs w:val="14"/>
          <w:color w:val="auto"/>
        </w:rPr>
      </w:pPr>
    </w:p>
    <w:p>
      <w:pPr>
        <w:ind w:left="160" w:hanging="155"/>
        <w:spacing w:after="0" w:line="287" w:lineRule="auto"/>
        <w:tabs>
          <w:tab w:leader="none" w:pos="16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160" w:hanging="155"/>
        <w:spacing w:after="0" w:line="287" w:lineRule="auto"/>
        <w:tabs>
          <w:tab w:leader="none" w:pos="14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60" w:hanging="155"/>
        <w:spacing w:after="0" w:line="287" w:lineRule="auto"/>
        <w:tabs>
          <w:tab w:leader="none" w:pos="15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sz w:val="20"/>
          <w:szCs w:val="20"/>
          <w:color w:val="auto"/>
        </w:rPr>
      </w:pPr>
    </w:p>
    <w:p>
      <w:pPr>
        <w:ind w:left="420" w:right="200" w:hanging="7"/>
        <w:spacing w:after="0" w:line="287" w:lineRule="auto"/>
        <w:tabs>
          <w:tab w:leader="none" w:pos="617"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420" w:right="200" w:hanging="7"/>
        <w:spacing w:after="0" w:line="287" w:lineRule="auto"/>
        <w:tabs>
          <w:tab w:leader="none" w:pos="62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420" w:right="200" w:hanging="7"/>
        <w:spacing w:after="0" w:line="287" w:lineRule="auto"/>
        <w:tabs>
          <w:tab w:leader="none" w:pos="627"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420" w:right="200" w:hanging="7"/>
        <w:spacing w:after="0" w:line="287" w:lineRule="auto"/>
        <w:tabs>
          <w:tab w:leader="none" w:pos="621"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160" w:hanging="155"/>
        <w:spacing w:after="0" w:line="287" w:lineRule="auto"/>
        <w:tabs>
          <w:tab w:leader="none" w:pos="1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420" w:right="200" w:hanging="7"/>
        <w:spacing w:after="0" w:line="287" w:lineRule="auto"/>
        <w:tabs>
          <w:tab w:leader="none" w:pos="607"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00" w:hanging="187"/>
        <w:spacing w:after="0"/>
        <w:tabs>
          <w:tab w:leader="none" w:pos="6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20, 2025</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Scott M. Ocholik</w:t>
            </w:r>
          </w:p>
        </w:tc>
      </w:tr>
      <w:tr>
        <w:trPr>
          <w:trHeight w:val="146"/>
        </w:trPr>
        <w:tc>
          <w:tcPr>
            <w:tcW w:w="5900" w:type="dxa"/>
            <w:vAlign w:val="bottom"/>
          </w:tcPr>
          <w:p>
            <w:pPr>
              <w:spacing w:after="0"/>
              <w:rPr>
                <w:sz w:val="12"/>
                <w:szCs w:val="12"/>
                <w:color w:val="auto"/>
              </w:rPr>
            </w:pPr>
          </w:p>
        </w:tc>
        <w:tc>
          <w:tcPr>
            <w:tcW w:w="538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Scott M. Ocholik</w:t>
            </w:r>
          </w:p>
        </w:tc>
      </w:tr>
      <w:tr>
        <w:trPr>
          <w:trHeight w:val="170"/>
        </w:trPr>
        <w:tc>
          <w:tcPr>
            <w:tcW w:w="590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Interim Chief Financial Officer and Vice President, Chief Accounting Officer and Corporate</w:t>
            </w:r>
          </w:p>
        </w:tc>
      </w:tr>
      <w:tr>
        <w:trPr>
          <w:trHeight w:val="184"/>
        </w:trPr>
        <w:tc>
          <w:tcPr>
            <w:tcW w:w="590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Controller (Principal Financial Officer and Principal Accounting Officer)</w:t>
            </w:r>
          </w:p>
        </w:tc>
      </w:tr>
    </w:tbl>
    <w:p>
      <w:pPr>
        <w:sectPr>
          <w:pgSz w:w="11900" w:h="16838" w:orient="portrait"/>
          <w:cols w:equalWidth="0" w:num="1">
            <w:col w:w="11280"/>
          </w:cols>
          <w:pgMar w:left="300" w:top="123"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Solely for the purpose of complying with 18 U.S.C. § 1350, each of the undersigned hereby certifies in his capacity as an officer of The Shyft Group, Inc. (the “Company”), pursuant to Section 906 of the Sarbanes-Oxley Act of 2002, 18 U.S.C. Section 1350 that:</w:t>
      </w:r>
    </w:p>
    <w:p>
      <w:pPr>
        <w:spacing w:after="0" w:line="125" w:lineRule="exact"/>
        <w:rPr>
          <w:sz w:val="20"/>
          <w:szCs w:val="20"/>
          <w:color w:val="auto"/>
        </w:rPr>
      </w:pPr>
    </w:p>
    <w:p>
      <w:pPr>
        <w:ind w:left="980" w:right="2100" w:hanging="327"/>
        <w:spacing w:after="0" w:line="263" w:lineRule="auto"/>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for the fiscal year ended December 31, 2024 (the “Report”) fully complies with the requirements of Section 13(a) of the Securities and Exchange Act of 1934 (15 U.S.C. 78m); and</w:t>
      </w:r>
    </w:p>
    <w:p>
      <w:pPr>
        <w:spacing w:after="0" w:line="1" w:lineRule="exact"/>
        <w:rPr>
          <w:rFonts w:ascii="Times New Roman" w:cs="Times New Roman" w:eastAsia="Times New Roman" w:hAnsi="Times New Roman"/>
          <w:sz w:val="14"/>
          <w:szCs w:val="14"/>
          <w:color w:val="auto"/>
        </w:rPr>
      </w:pPr>
    </w:p>
    <w:p>
      <w:pPr>
        <w:ind w:left="980" w:right="2100" w:hanging="327"/>
        <w:spacing w:after="0" w:line="266" w:lineRule="auto"/>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20, 2025</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John Dunn</w:t>
            </w:r>
          </w:p>
        </w:tc>
      </w:tr>
      <w:tr>
        <w:trPr>
          <w:trHeight w:val="146"/>
        </w:trPr>
        <w:tc>
          <w:tcPr>
            <w:tcW w:w="6580" w:type="dxa"/>
            <w:vAlign w:val="bottom"/>
          </w:tcPr>
          <w:p>
            <w:pPr>
              <w:spacing w:after="0"/>
              <w:rPr>
                <w:sz w:val="12"/>
                <w:szCs w:val="12"/>
                <w:color w:val="auto"/>
              </w:rPr>
            </w:pPr>
          </w:p>
        </w:tc>
        <w:tc>
          <w:tcPr>
            <w:tcW w:w="47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John Dunn</w:t>
            </w:r>
          </w:p>
        </w:tc>
      </w:tr>
      <w:tr>
        <w:trPr>
          <w:trHeight w:val="184"/>
        </w:trPr>
        <w:tc>
          <w:tcPr>
            <w:tcW w:w="658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340"/>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20, 2025</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Scott M. Ocholik</w:t>
            </w:r>
          </w:p>
        </w:tc>
      </w:tr>
      <w:tr>
        <w:trPr>
          <w:trHeight w:val="146"/>
        </w:trPr>
        <w:tc>
          <w:tcPr>
            <w:tcW w:w="6580" w:type="dxa"/>
            <w:vAlign w:val="bottom"/>
          </w:tcPr>
          <w:p>
            <w:pPr>
              <w:spacing w:after="0"/>
              <w:rPr>
                <w:sz w:val="12"/>
                <w:szCs w:val="12"/>
                <w:color w:val="auto"/>
              </w:rPr>
            </w:pPr>
          </w:p>
        </w:tc>
        <w:tc>
          <w:tcPr>
            <w:tcW w:w="47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Scott M. Ocholik</w:t>
            </w:r>
          </w:p>
        </w:tc>
      </w:tr>
      <w:tr>
        <w:trPr>
          <w:trHeight w:val="170"/>
        </w:trPr>
        <w:tc>
          <w:tcPr>
            <w:tcW w:w="65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Interim Chief Financial Officer and Vice President, Chief Accounting Officer and</w:t>
            </w:r>
          </w:p>
        </w:tc>
      </w:tr>
      <w:tr>
        <w:trPr>
          <w:trHeight w:val="170"/>
        </w:trPr>
        <w:tc>
          <w:tcPr>
            <w:tcW w:w="65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Corporate Controller (Principal Financial Officer and Principal Accounting</w:t>
            </w:r>
          </w:p>
        </w:tc>
      </w:tr>
      <w:tr>
        <w:trPr>
          <w:trHeight w:val="184"/>
        </w:trPr>
        <w:tc>
          <w:tcPr>
            <w:tcW w:w="658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Officer)</w:t>
            </w:r>
          </w:p>
        </w:tc>
      </w:tr>
    </w:tbl>
    <w:p>
      <w:pPr>
        <w:spacing w:after="0" w:line="326" w:lineRule="exact"/>
        <w:rPr>
          <w:sz w:val="20"/>
          <w:szCs w:val="20"/>
          <w:color w:val="auto"/>
        </w:rPr>
      </w:pPr>
    </w:p>
    <w:p>
      <w:pPr>
        <w:jc w:val="both"/>
        <w:ind w:firstLine="52"/>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lvl w:ilvl="1">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2"/>
    </w:lvl>
  </w:abstractNum>
  <w:abstractNum w:abstractNumId="14">
    <w:nsid w:val="2D1D5AE9"/>
    <w:multiLevelType w:val="hybridMultilevel"/>
    <w:lvl w:ilvl="0">
      <w:lvlJc w:val="left"/>
      <w:lvlText w:val="%1"/>
      <w:numFmt w:val="decimal"/>
      <w:start w:val="19"/>
    </w:lvl>
  </w:abstractNum>
  <w:abstractNum w:abstractNumId="15">
    <w:nsid w:val="6763845E"/>
    <w:multiLevelType w:val="hybridMultilevel"/>
    <w:lvl w:ilvl="0">
      <w:lvlJc w:val="left"/>
      <w:lvlText w:val="%1"/>
      <w:numFmt w:val="decimal"/>
      <w:start w:val="21"/>
    </w:lvl>
  </w:abstractNum>
  <w:abstractNum w:abstractNumId="16">
    <w:nsid w:val="75A2A8D4"/>
    <w:multiLevelType w:val="hybridMultilevel"/>
    <w:lvl w:ilvl="0">
      <w:lvlJc w:val="left"/>
      <w:lvlText w:val="%1"/>
      <w:numFmt w:val="decimal"/>
      <w:start w:val="32"/>
    </w:lvl>
  </w:abstractNum>
  <w:abstractNum w:abstractNumId="17">
    <w:nsid w:val="8EDBDAB"/>
    <w:multiLevelType w:val="hybridMultilevel"/>
    <w:lvl w:ilvl="0">
      <w:lvlJc w:val="left"/>
      <w:lvlText w:val="%1"/>
      <w:numFmt w:val="decimal"/>
      <w:start w:val="97"/>
    </w:lvl>
  </w:abstractNum>
  <w:abstractNum w:abstractNumId="18">
    <w:nsid w:val="79838CB2"/>
    <w:multiLevelType w:val="hybridMultilevel"/>
    <w:lvl w:ilvl="0">
      <w:lvlJc w:val="left"/>
      <w:lvlText w:val="%1"/>
      <w:numFmt w:val="decimal"/>
      <w:start w:val="104"/>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lowerRoman"/>
      <w:start w:val="3"/>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5"/>
    </w:lvl>
    <w:lvl w:ilvl="1">
      <w:lvlJc w:val="left"/>
      <w:lvlText w:val="(%2)"/>
      <w:numFmt w:val="lowerLetter"/>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5"/>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jpeg"/><Relationship Id="rId161" Type="http://schemas.openxmlformats.org/officeDocument/2006/relationships/image" Target="media/image113.jpeg"/><Relationship Id="rId162" Type="http://schemas.openxmlformats.org/officeDocument/2006/relationships/image" Target="media/image114.jpeg"/><Relationship Id="rId163" Type="http://schemas.openxmlformats.org/officeDocument/2006/relationships/image" Target="media/image115.jpeg"/><Relationship Id="rId164" Type="http://schemas.openxmlformats.org/officeDocument/2006/relationships/image" Target="media/image116.jpe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jpeg"/><Relationship Id="rId170" Type="http://schemas.openxmlformats.org/officeDocument/2006/relationships/image" Target="media/image122.png"/><Relationship Id="rId171" Type="http://schemas.openxmlformats.org/officeDocument/2006/relationships/image" Target="media/image123.jpe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jpe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jpeg"/><Relationship Id="rId178" Type="http://schemas.openxmlformats.org/officeDocument/2006/relationships/image" Target="media/image130.png"/><Relationship Id="rId179" Type="http://schemas.openxmlformats.org/officeDocument/2006/relationships/image" Target="media/image131.jpe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jpe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jpeg"/><Relationship Id="rId188" Type="http://schemas.openxmlformats.org/officeDocument/2006/relationships/image" Target="media/image140.png"/><Relationship Id="rId189" Type="http://schemas.openxmlformats.org/officeDocument/2006/relationships/image" Target="media/image141.png"/><Relationship Id="rId57" Type="http://schemas.openxmlformats.org/officeDocument/2006/relationships/hyperlink" Target="http://www.sec.gov/ix?doc=/Archives/edgar/data/743238/000143774924005136/shyf20231231c_10k.htm" TargetMode="External"/><Relationship Id="rId118" Type="http://schemas.openxmlformats.org/officeDocument/2006/relationships/hyperlink" Target="http://www.sec.gov/Archives/edgar/data/743238/000095010324018087/dp222354_ex0201.htm" TargetMode="External"/><Relationship Id="rId119" Type="http://schemas.openxmlformats.org/officeDocument/2006/relationships/hyperlink" Target="http://www.sec.gov/Archives/edgar/data/743238/000143774921007163/ex_232968.htm" TargetMode="External"/><Relationship Id="rId120" Type="http://schemas.openxmlformats.org/officeDocument/2006/relationships/hyperlink" Target="http://www.sec.gov/Archives/edgar/data/743238/000143774924005136/ex_627598.htm" TargetMode="External"/><Relationship Id="rId121" Type="http://schemas.openxmlformats.org/officeDocument/2006/relationships/hyperlink" Target="http://www.sec.gov/Archives/edgar/data/743238/000143774920005329/ex_176866.htm" TargetMode="External"/><Relationship Id="rId122" Type="http://schemas.openxmlformats.org/officeDocument/2006/relationships/hyperlink" Target="http://www.sec.gov/Archives/edgar/data/743238/000090572902000154/spmex45081402.htm" TargetMode="External"/><Relationship Id="rId123" Type="http://schemas.openxmlformats.org/officeDocument/2006/relationships/hyperlink" Target="http://www.sec.gov/Archives/edgar/data/743238/000143774922004361/ex_338747.htm" TargetMode="External"/><Relationship Id="rId124" Type="http://schemas.openxmlformats.org/officeDocument/2006/relationships/hyperlink" Target="http://www.sec.gov/Archives/edgar/data/743238/000143774915014781/ex10-1.htm" TargetMode="External"/><Relationship Id="rId125" Type="http://schemas.openxmlformats.org/officeDocument/2006/relationships/hyperlink" Target="http://www.sec.gov/Archives/edgar/data/743238/000143774922019804/ex_409868.htm" TargetMode="External"/><Relationship Id="rId126" Type="http://schemas.openxmlformats.org/officeDocument/2006/relationships/hyperlink" Target="http://www.sec.gov/Archives/edgar/data/743238/000090572908000114/sptnmotex1014_031408.htm" TargetMode="External"/><Relationship Id="rId127" Type="http://schemas.openxmlformats.org/officeDocument/2006/relationships/hyperlink" Target="http://www.sec.gov/Archives/edgar/data/743238/000143774920007477/spar20200409b_def14a.htm" TargetMode="External"/><Relationship Id="rId128" Type="http://schemas.openxmlformats.org/officeDocument/2006/relationships/hyperlink" Target="http://www.sec.gov/Archives/edgar/data/743238/000143774923015114/ex_523107.htm" TargetMode="External"/><Relationship Id="rId129" Type="http://schemas.openxmlformats.org/officeDocument/2006/relationships/hyperlink" Target="http://www.sec.gov/Archives/edgar/data/743238/000143774921007163/ex_233291.htm" TargetMode="External"/><Relationship Id="rId130" Type="http://schemas.openxmlformats.org/officeDocument/2006/relationships/hyperlink" Target="http://www.sec.gov/Archives/edgar/data/743238/000143774921007163/ex_233292.htm" TargetMode="External"/><Relationship Id="rId131" Type="http://schemas.openxmlformats.org/officeDocument/2006/relationships/hyperlink" Target="http://www.sec.gov/Archives/edgar/data/743238/000143774922004361/ex_339386.htm" TargetMode="External"/><Relationship Id="rId132" Type="http://schemas.openxmlformats.org/officeDocument/2006/relationships/hyperlink" Target="http://www.sec.gov/Archives/edgar/data/743238/000143774922010100/ex_362740.htm" TargetMode="External"/><Relationship Id="rId133" Type="http://schemas.openxmlformats.org/officeDocument/2006/relationships/hyperlink" Target="http://www.sec.gov/Archives/edgar/data/743238/000143774922010100/ex_362751.htm" TargetMode="External"/><Relationship Id="rId134" Type="http://schemas.openxmlformats.org/officeDocument/2006/relationships/hyperlink" Target="http://www.sec.gov/Archives/edgar/data/743238/000143774922017949/ex_398515.htm" TargetMode="External"/><Relationship Id="rId135" Type="http://schemas.openxmlformats.org/officeDocument/2006/relationships/hyperlink" Target="http://www.sec.gov/Archives/edgar/data/743238/000143774914019400/ex10-1.htm" TargetMode="External"/><Relationship Id="rId136" Type="http://schemas.openxmlformats.org/officeDocument/2006/relationships/hyperlink" Target="http://www.sec.gov/Archives/edgar/data/743238/000143774920005329/ex_177203.htm" TargetMode="External"/><Relationship Id="rId137" Type="http://schemas.openxmlformats.org/officeDocument/2006/relationships/hyperlink" Target="http://www.sec.gov/Archives/edgar/data/743238/000143774921027595/ex_312035.htm" TargetMode="External"/><Relationship Id="rId138" Type="http://schemas.openxmlformats.org/officeDocument/2006/relationships/hyperlink" Target="http://www.sec.gov/Archives/edgar/data/743238/000143774923020799/ex_548849.htm" TargetMode="External"/><Relationship Id="rId139" Type="http://schemas.openxmlformats.org/officeDocument/2006/relationships/hyperlink" Target="http://www.sec.gov/Archives/edgar/data/743238/000143774924010088/ex_646376.htm" TargetMode="External"/><Relationship Id="rId140" Type="http://schemas.openxmlformats.org/officeDocument/2006/relationships/hyperlink" Target="http://www.sec.gov/Archives/edgar/data/743238/000143774923011248/ex_507718.htm" TargetMode="External"/><Relationship Id="rId141" Type="http://schemas.openxmlformats.org/officeDocument/2006/relationships/hyperlink" Target="http://www.sec.gov/Archives/edgar/data/743238/000143774923011248/ex_507719.htm" TargetMode="External"/><Relationship Id="rId142" Type="http://schemas.openxmlformats.org/officeDocument/2006/relationships/hyperlink" Target="http://www.sec.gov/Archives/edgar/data/743238/000143774923011367/ex_508641.htm" TargetMode="External"/><Relationship Id="rId143" Type="http://schemas.openxmlformats.org/officeDocument/2006/relationships/hyperlink" Target="http://www.sec.gov/Archives/edgar/data/743238/000143774924005136/ex_627594.htm" TargetMode="External"/><Relationship Id="rId144" Type="http://schemas.openxmlformats.org/officeDocument/2006/relationships/hyperlink" Target="http://www.sec.gov/Archives/edgar/data/743238/000143774924023423/ex_700677.htm" TargetMode="External"/><Relationship Id="rId145" Type="http://schemas.openxmlformats.org/officeDocument/2006/relationships/hyperlink" Target="http://www.sec.gov/Archives/edgar/data/743238/000143774924023423/ex_700678.htm" TargetMode="External"/><Relationship Id="rId146" Type="http://schemas.openxmlformats.org/officeDocument/2006/relationships/hyperlink" Target="http://www.sec.gov/Archives/edgar/data/743238/000143774924005136/ex_627597.htm" TargetMode="External"/><Relationship Id="rId147" Type="http://schemas.openxmlformats.org/officeDocument/2006/relationships/hyperlink" Target="http://www.sec.gov/Archives/edgar/data/743238/000143774923020799/ex_548658.htm" TargetMode="External"/><Relationship Id="rId148" Type="http://schemas.openxmlformats.org/officeDocument/2006/relationships/hyperlink" Target="http://www.sec.gov/Archives/edgar/data/743238/000143774923029038/ex_583701.htm" TargetMode="External"/><Relationship Id="rId149" Type="http://schemas.openxmlformats.org/officeDocument/2006/relationships/hyperlink" Target="http://www.sec.gov/Archives/edgar/data/743238/000143774924005136/ex_628397.htm" TargetMode="External"/><Relationship Id="rId150" Type="http://schemas.openxmlformats.org/officeDocument/2006/relationships/hyperlink" Target="http://www.sec.gov/Archives/edgar/data/743238/000143774924013129/ex_659088.htm" TargetMode="External"/><Relationship Id="rId151" Type="http://schemas.openxmlformats.org/officeDocument/2006/relationships/hyperlink" Target="http://www.sec.gov/Archives/edgar/data/743238/000143774924013129/ex_659089.htm" TargetMode="External"/><Relationship Id="rId152" Type="http://schemas.openxmlformats.org/officeDocument/2006/relationships/hyperlink" Target="http://www.sec.gov/Archives/edgar/data/743238/000143774924023423/ex_700679.htm" TargetMode="External"/><Relationship Id="rId153" Type="http://schemas.openxmlformats.org/officeDocument/2006/relationships/hyperlink" Target="http://www.sec.gov/Archives/edgar/data/743238/000095010324018087/dp222354_ex1001.htm" TargetMode="External"/><Relationship Id="rId154" Type="http://schemas.openxmlformats.org/officeDocument/2006/relationships/hyperlink" Target="http://www.sec.gov/Archives/edgar/data/743238/000095010324018087/dp222354_ex1002.htm" TargetMode="External"/><Relationship Id="rId155" Type="http://schemas.openxmlformats.org/officeDocument/2006/relationships/hyperlink" Target="http://www.sec.gov/Archives/edgar/data/743238/000095010324018087/dp222354_ex1003.htm" TargetMode="External"/><Relationship Id="rId156" Type="http://schemas.openxmlformats.org/officeDocument/2006/relationships/hyperlink" Target="http://www.sec.gov/Archives/edgar/data/743238/000095010324018087/dp222354_ex1004.htm" TargetMode="External"/><Relationship Id="rId157" Type="http://schemas.openxmlformats.org/officeDocument/2006/relationships/hyperlink" Target="http://www.sec.gov/Archives/edgar/data/743238/000143774924005136/ex_6283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2025-02-20T07:19:49Z</dcterms:created>
  <dcterms:modified xsi:type="dcterms:W3CDTF">2025-02-20T07:19:49Z</dcterms:modified>
</cp:coreProperties>
</file>