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MASCARENAS PAUL ANTHONY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THE SHYFT GROUP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41280 BRIDGE STREET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NOVI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48375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SHYFT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SHYF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09/01/2023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56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6,480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62,486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that vest 25% on 10-31-2023, 25% on 1-31-2024, 25% on 4-30-2024, and the remaining shares on 7-31-2024. These shares are granted as remuneration for Mr. Mascarenas' advisory services distinct from his role as a Board member.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Joshua A. Sherbin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54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Paul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Mascarenas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87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25756" TargetMode="External"/><Relationship Id="rId13" Type="http://schemas.openxmlformats.org/officeDocument/2006/relationships/hyperlink" Target="http://www.sec.gov/cgi-bin/browse-edgar?action=getcompany&amp;CIK=0000743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2023-09-05T16:26:32Z</dcterms:created>
  <dcterms:modified xsi:type="dcterms:W3CDTF">2023-09-05T16:26:32Z</dcterms:modified>
</cp:coreProperties>
</file>