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15,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4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4660" w:type="dxa"/>
            <w:vAlign w:val="bottom"/>
          </w:tcPr>
          <w:p>
            <w:pPr>
              <w:jc w:val="right"/>
              <w:ind w:right="1930"/>
              <w:spacing w:after="0"/>
              <w:rPr>
                <w:sz w:val="20"/>
                <w:szCs w:val="20"/>
                <w:color w:val="auto"/>
              </w:rPr>
            </w:pPr>
            <w:r>
              <w:rPr>
                <w:rFonts w:ascii="Times New Roman" w:cs="Times New Roman" w:eastAsia="Times New Roman" w:hAnsi="Times New Roman"/>
                <w:sz w:val="18"/>
                <w:szCs w:val="18"/>
                <w:b w:val="1"/>
                <w:bCs w:val="1"/>
                <w:color w:val="auto"/>
              </w:rPr>
              <w:t>001-33582</w:t>
            </w:r>
          </w:p>
        </w:tc>
        <w:tc>
          <w:tcPr>
            <w:tcW w:w="2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38-2078923</w:t>
            </w:r>
          </w:p>
        </w:tc>
      </w:tr>
      <w:tr>
        <w:trPr>
          <w:trHeight w:val="216"/>
        </w:trPr>
        <w:tc>
          <w:tcPr>
            <w:tcW w:w="24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No.)</w:t>
            </w: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of Incorporation)</w:t>
            </w:r>
          </w:p>
        </w:tc>
        <w:tc>
          <w:tcPr>
            <w:tcW w:w="4660" w:type="dxa"/>
            <w:vAlign w:val="bottom"/>
          </w:tcPr>
          <w:p>
            <w:pPr>
              <w:spacing w:after="0"/>
              <w:rPr>
                <w:sz w:val="20"/>
                <w:szCs w:val="20"/>
                <w:color w:val="auto"/>
              </w:rPr>
            </w:pPr>
          </w:p>
        </w:tc>
        <w:tc>
          <w:tcPr>
            <w:tcW w:w="20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7120" w:type="dxa"/>
            <w:vAlign w:val="bottom"/>
            <w:gridSpan w:val="2"/>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41280 Bridge Street, Novi, Michigan</w:t>
            </w:r>
          </w:p>
        </w:tc>
        <w:tc>
          <w:tcPr>
            <w:tcW w:w="2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48375</w:t>
            </w:r>
          </w:p>
        </w:tc>
      </w:tr>
      <w:tr>
        <w:trPr>
          <w:trHeight w:val="234"/>
        </w:trPr>
        <w:tc>
          <w:tcPr>
            <w:tcW w:w="7120" w:type="dxa"/>
            <w:vAlign w:val="bottom"/>
            <w:gridSpan w:val="2"/>
          </w:tcPr>
          <w:p>
            <w:pPr>
              <w:jc w:val="center"/>
              <w:ind w:right="1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2460" w:type="dxa"/>
            <w:vAlign w:val="bottom"/>
          </w:tcPr>
          <w:p>
            <w:pPr>
              <w:spacing w:after="0"/>
              <w:rPr>
                <w:sz w:val="24"/>
                <w:szCs w:val="24"/>
                <w:color w:val="auto"/>
              </w:rPr>
            </w:pPr>
          </w:p>
        </w:tc>
        <w:tc>
          <w:tcPr>
            <w:tcW w:w="4660" w:type="dxa"/>
            <w:vAlign w:val="bottom"/>
          </w:tcPr>
          <w:p>
            <w:pPr>
              <w:jc w:val="right"/>
              <w:ind w:right="1810"/>
              <w:spacing w:after="0"/>
              <w:rPr>
                <w:sz w:val="20"/>
                <w:szCs w:val="20"/>
                <w:color w:val="auto"/>
              </w:rPr>
            </w:pPr>
            <w:r>
              <w:rPr>
                <w:rFonts w:ascii="Times New Roman" w:cs="Times New Roman" w:eastAsia="Times New Roman" w:hAnsi="Times New Roman"/>
                <w:sz w:val="18"/>
                <w:szCs w:val="18"/>
                <w:b w:val="1"/>
                <w:bCs w:val="1"/>
                <w:color w:val="auto"/>
              </w:rPr>
              <w:t>517-543-6400</w:t>
            </w:r>
          </w:p>
        </w:tc>
        <w:tc>
          <w:tcPr>
            <w:tcW w:w="202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4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w:t>
            </w:r>
          </w:p>
        </w:tc>
        <w:tc>
          <w:tcPr>
            <w:tcW w:w="202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46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Code)</w:t>
            </w:r>
          </w:p>
        </w:tc>
        <w:tc>
          <w:tcPr>
            <w:tcW w:w="20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Section Act (17 CFR 230.425)</w:t>
      </w:r>
    </w:p>
    <w:p>
      <w:pPr>
        <w:spacing w:after="0" w:line="29" w:lineRule="exact"/>
        <w:rPr>
          <w:rFonts w:ascii="MS PGothic" w:cs="MS PGothic" w:eastAsia="MS PGothic" w:hAnsi="MS PGothic"/>
          <w:sz w:val="18"/>
          <w:szCs w:val="18"/>
          <w:color w:val="auto"/>
        </w:rPr>
      </w:pPr>
    </w:p>
    <w:p>
      <w:pPr>
        <w:ind w:left="340" w:hanging="332"/>
        <w:spacing w:after="0" w:line="207" w:lineRule="exact"/>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8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53"/>
        </w:trPr>
        <w:tc>
          <w:tcPr>
            <w:tcW w:w="37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r>
      <w:tr>
        <w:trPr>
          <w:trHeight w:val="189"/>
        </w:trPr>
        <w:tc>
          <w:tcPr>
            <w:tcW w:w="376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76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690"/>
              <w:spacing w:after="0" w:line="170"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4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37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76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710"/>
              <w:spacing w:after="0" w:line="193" w:lineRule="exact"/>
              <w:rPr>
                <w:sz w:val="20"/>
                <w:szCs w:val="20"/>
                <w:color w:val="auto"/>
              </w:rPr>
            </w:pPr>
            <w:r>
              <w:rPr>
                <w:rFonts w:ascii="Times New Roman" w:cs="Times New Roman" w:eastAsia="Times New Roman" w:hAnsi="Times New Roman"/>
                <w:sz w:val="18"/>
                <w:szCs w:val="18"/>
                <w:color w:val="auto"/>
                <w:w w:val="99"/>
              </w:rPr>
              <w:t>SHYF</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Shyft Group, Inc. (the “Company”) held its annual meeting of shareholders on May 15, 2024 (the “Annual Meeting”). There were 34,333,988 shares of the Company's common stock outstanding and entitled to vote at the Annual Meeting and there were 29,459,163 shares of common stock represented in person or by proxy at the Annual Meeting, which constituted a quorum to conduct business.</w:t>
      </w:r>
    </w:p>
    <w:p>
      <w:pPr>
        <w:spacing w:after="0" w:line="176"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Three proposals were voted upon at the Annual Meeting. The proposals are described in detail in the Company's proxy statement filed with the Securities and Exchange Commission on April 3, 2024. Each of the proposals passed. The voting results regarding each proposal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1: Election to the Company’s Board of Directors for a three-year term:</w:t>
            </w:r>
          </w:p>
        </w:tc>
        <w:tc>
          <w:tcPr>
            <w:tcW w:w="1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5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For</w:t>
            </w:r>
          </w:p>
        </w:tc>
        <w:tc>
          <w:tcPr>
            <w:tcW w:w="15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Withheld</w:t>
            </w:r>
          </w:p>
        </w:tc>
        <w:tc>
          <w:tcPr>
            <w:tcW w:w="1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34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Dunn</w:t>
            </w:r>
          </w:p>
        </w:tc>
        <w:tc>
          <w:tcPr>
            <w:tcW w:w="1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24,939,598</w:t>
            </w:r>
          </w:p>
        </w:tc>
        <w:tc>
          <w:tcPr>
            <w:tcW w:w="15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1,164,086</w:t>
            </w:r>
          </w:p>
        </w:tc>
        <w:tc>
          <w:tcPr>
            <w:tcW w:w="18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3,355,479</w:t>
            </w:r>
          </w:p>
        </w:tc>
      </w:tr>
      <w:tr>
        <w:trPr>
          <w:trHeight w:val="216"/>
        </w:trPr>
        <w:tc>
          <w:tcPr>
            <w:tcW w:w="34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Pamela Kermisch</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25,781,005</w:t>
            </w:r>
          </w:p>
        </w:tc>
        <w:tc>
          <w:tcPr>
            <w:tcW w:w="1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322,679</w:t>
            </w: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3,355,479</w:t>
            </w:r>
          </w:p>
        </w:tc>
      </w:tr>
      <w:tr>
        <w:trPr>
          <w:trHeight w:val="216"/>
        </w:trPr>
        <w:tc>
          <w:tcPr>
            <w:tcW w:w="34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Mascarenas</w:t>
            </w:r>
          </w:p>
        </w:tc>
        <w:tc>
          <w:tcPr>
            <w:tcW w:w="1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23,848,350</w:t>
            </w:r>
          </w:p>
        </w:tc>
        <w:tc>
          <w:tcPr>
            <w:tcW w:w="15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2,255,334</w:t>
            </w:r>
          </w:p>
        </w:tc>
        <w:tc>
          <w:tcPr>
            <w:tcW w:w="18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3,355,479</w:t>
            </w: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Ratification of the appointment of Deloitte &amp; Touche LLP as the Company’s independent registered public accounting firm for the fiscal year ending December 31, 2024:</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For</w:t>
            </w:r>
          </w:p>
        </w:tc>
        <w:tc>
          <w:tcPr>
            <w:tcW w:w="300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Against</w:t>
            </w: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09"/>
        </w:trPr>
        <w:tc>
          <w:tcPr>
            <w:tcW w:w="29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29,382,524</w:t>
            </w:r>
          </w:p>
        </w:tc>
        <w:tc>
          <w:tcPr>
            <w:tcW w:w="300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51,339</w:t>
            </w:r>
          </w:p>
        </w:tc>
        <w:tc>
          <w:tcPr>
            <w:tcW w:w="300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25,300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Approval, on a non-binding basis, of the compensation paid to the Company's Named Executive Officers: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5"/>
              </w:rPr>
              <w:t>For</w:t>
            </w:r>
          </w:p>
        </w:tc>
        <w:tc>
          <w:tcPr>
            <w:tcW w:w="22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Against</w:t>
            </w:r>
          </w:p>
        </w:tc>
        <w:tc>
          <w:tcPr>
            <w:tcW w:w="20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Abstain</w:t>
            </w:r>
          </w:p>
        </w:tc>
        <w:tc>
          <w:tcPr>
            <w:tcW w:w="25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10"/>
        </w:trPr>
        <w:tc>
          <w:tcPr>
            <w:tcW w:w="21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25,447,680</w:t>
            </w:r>
          </w:p>
        </w:tc>
        <w:tc>
          <w:tcPr>
            <w:tcW w:w="22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606,616</w:t>
            </w:r>
          </w:p>
        </w:tc>
        <w:tc>
          <w:tcPr>
            <w:tcW w:w="20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49,388</w:t>
            </w:r>
          </w:p>
        </w:tc>
        <w:tc>
          <w:tcPr>
            <w:tcW w:w="25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3,355,479</w:t>
            </w: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2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THE SHYFT GROUP, INC.</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A. Sherbin</w:t>
            </w:r>
          </w:p>
        </w:tc>
      </w:tr>
      <w:tr>
        <w:trPr>
          <w:trHeight w:val="191"/>
        </w:trPr>
        <w:tc>
          <w:tcPr>
            <w:tcW w:w="59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Joshua A. Sherbin</w:t>
            </w:r>
          </w:p>
        </w:tc>
      </w:tr>
      <w:tr>
        <w:trPr>
          <w:trHeight w:val="234"/>
        </w:trPr>
        <w:tc>
          <w:tcPr>
            <w:tcW w:w="59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2024-05-15T16:02:19Z</dcterms:created>
  <dcterms:modified xsi:type="dcterms:W3CDTF">2024-05-15T16:02:19Z</dcterms:modified>
</cp:coreProperties>
</file>