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SHYFT GROUP INC/THE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825698103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04/30/2025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825698103</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 Rowe Price Investment Management,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MARYLAND</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3,688,727.00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3,711,715.00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3,711,715.00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SHYFT GROUP INC/THE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41280 BRIDGE STREET, NOVI, MI, 48375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 Rowe Price Investment Management,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1307 Point Street, Baltimore, MD 21231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Maryland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825698103</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3711715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10.6 %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3688727</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3711715</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1"/>
          <w:szCs w:val="21"/>
          <w:color w:val="auto"/>
        </w:rPr>
        <w:t>Ownership of More than Five Percent on Behalf of Another Person (1) Price Investment Management does not serve as custodian of the assets of any of its clients; accordingly, in each instance only the client or the client's custodian or trustee bank has the right to receive dividends paid with respect to, and proceeds from the sale of, such securities. The ultimate power to direct the receipt of dividends paid with respect to, and the proceeds from the sale of, such securities, is vested in the individual and institutional clients which Price Investment Management serves as investment adviser. Any and all discretionary authority which has been delegated to Price Investment Management may be revoked in whole or in part at any time. Except as may be indicated if this is a joint filing with one of the registered investment companies sponsored by Price Investment Management which it also serves as investment adviser ("T. Rowe Price Funds"), not more than 5% of the class of such securities is owned by any one client subject to the investment advice of Price Investment Management. (2) [T. ROWE PRICE SMALL-CAP VALUE FUND ]: T. ROWE PRICE SMALL-CAP VALUE FUND, of which T. Rowe Price Investment Management, Inc. is the investment adviser, holds the securities reported herein in their investment portfolio managed by T. Rowe Price Investment Management, Inc. and such funds have the right to receive or the power to direct the receipt of dividends from, or the proceeds from the sale of, the securities that they hold. T. ROWE PRICE SMALL-CAP VALUE FUND has an interest in 2,103,820 of the class reported herein representing 6.0% of the class.</w:t>
      </w:r>
    </w:p>
    <w:p>
      <w:pPr>
        <w:spacing w:after="0" w:line="16"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48"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Investment Management, Inc. hereby declares and affirms that the filing of Schedule 13G shall not be construed as an admission that Price Investment Management is the beneficial owner of the securities referred to, which beneficial ownership is expressly denied.</w:t>
      </w:r>
    </w:p>
    <w:p>
      <w:pPr>
        <w:spacing w:after="0" w:line="2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T. Rowe Price Investment Management, Inc.</w:t>
      </w:r>
    </w:p>
    <w:p>
      <w:pPr>
        <w:spacing w:after="0" w:line="152" w:lineRule="exact"/>
        <w:rPr>
          <w:sz w:val="20"/>
          <w:szCs w:val="20"/>
          <w:color w:val="auto"/>
        </w:rPr>
      </w:pPr>
    </w:p>
    <w:p>
      <w:pPr>
        <w:ind w:left="2540"/>
        <w:spacing w:after="0"/>
        <w:tabs>
          <w:tab w:leader="none" w:pos="3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Ellen York</w:t>
      </w:r>
    </w:p>
    <w:p>
      <w:pPr>
        <w:spacing w:after="0" w:line="4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Name/Title: Vice President</w:t>
      </w:r>
    </w:p>
    <w:p>
      <w:pPr>
        <w:spacing w:after="0" w:line="44" w:lineRule="exact"/>
        <w:rPr>
          <w:sz w:val="20"/>
          <w:szCs w:val="20"/>
          <w:color w:val="auto"/>
        </w:rPr>
      </w:pPr>
    </w:p>
    <w:p>
      <w:pPr>
        <w:ind w:left="2540"/>
        <w:spacing w:after="0"/>
        <w:tabs>
          <w:tab w:leader="none" w:pos="3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05/07/2025</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2025-05-07T09:42:39Z</dcterms:created>
  <dcterms:modified xsi:type="dcterms:W3CDTF">2025-05-07T09:42:39Z</dcterms:modified>
</cp:coreProperties>
</file>