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28744_425.htm"/>
      <w:bookmarkStart w:id="1" w:name="ksdp228744_425"/>
      <w:bookmarkEnd w:id="0"/>
      <w:bookmarkEnd w:id="1"/>
      <w:r>
        <w:rPr/>
        <w:t> </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The Shyft Group, Inc.</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File No.: 001-33582)</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Rule 425 of the Securities Act of 1933</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Company: The Shyft Group, Inc.</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File No.: 001-33582)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On May 12, 2025, the following press release titled “The Shyft Group to Hold Special Meeting of the Shareholders of Shyft on Proposed Merger with Aebi Schmidt” was made available by The Shyft Group, Inc. (“Shyft”) in connection with Shyft’s announcement of the date for the special meeting of the shareholders of Shyft, and the record date for such meeting, to consider and vote on its proposed merger (the “Merger”) with an indirect, wholly owned subsidiary of Aebi Schmidt Holding AG (“Aebi Schmidt”). Such press release was also made available on aspecialtyvehiclesleader.com, a microsite set up by Shyft in connection with the Merger:</w:t>
      </w:r>
    </w:p>
    <w:p>
      <w:pPr>
        <w:pStyle w:val="TextBody"/>
        <w:bidi w:val="0"/>
        <w:spacing w:before="0" w:after="0"/>
        <w:ind w:left="0" w:right="0" w:hanging="0"/>
        <w:jc w:val="left"/>
        <w:rPr>
          <w:caps w:val="false"/>
          <w:smallCaps w:val="false"/>
        </w:rPr>
      </w:pPr>
      <w:r>
        <w:rPr>
          <w:caps w:val="false"/>
          <w:smallCaps w:val="false"/>
        </w:rPr>
        <w:t> </w:t>
      </w:r>
    </w:p>
    <w:tbl>
      <w:tblPr>
        <w:tblW w:w="7010" w:type="dxa"/>
        <w:jc w:val="left"/>
        <w:tblInd w:w="0" w:type="dxa"/>
        <w:tblLayout w:type="fixed"/>
        <w:tblCellMar>
          <w:top w:w="0" w:type="dxa"/>
          <w:left w:w="0" w:type="dxa"/>
          <w:bottom w:w="0" w:type="dxa"/>
          <w:right w:w="0" w:type="dxa"/>
        </w:tblCellMar>
      </w:tblPr>
      <w:tblGrid>
        <w:gridCol w:w="4200"/>
        <w:gridCol w:w="2810"/>
      </w:tblGrid>
      <w:tr>
        <w:trPr/>
        <w:tc>
          <w:tcPr>
            <w:tcW w:w="4200" w:type="dxa"/>
            <w:tcBorders/>
            <w:vAlign w:val="center"/>
          </w:tcPr>
          <w:p>
            <w:pPr>
              <w:pStyle w:val="TableContents"/>
              <w:bidi w:val="0"/>
              <w:spacing w:before="0" w:after="283"/>
              <w:jc w:val="left"/>
              <w:rPr/>
            </w:pPr>
            <w:r>
              <w:rPr/>
              <w:drawing>
                <wp:inline distT="0" distB="0" distL="0" distR="0">
                  <wp:extent cx="26193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419100"/>
                          </a:xfrm>
                          <a:prstGeom prst="rect">
                            <a:avLst/>
                          </a:prstGeom>
                        </pic:spPr>
                      </pic:pic>
                    </a:graphicData>
                  </a:graphic>
                </wp:inline>
              </w:drawing>
            </w:r>
            <w:r>
              <w:rPr/>
              <w:t> </w:t>
            </w:r>
          </w:p>
        </w:tc>
        <w:tc>
          <w:tcPr>
            <w:tcW w:w="2810" w:type="dxa"/>
            <w:tcBorders/>
            <w:vAlign w:val="center"/>
          </w:tcPr>
          <w:p>
            <w:pPr>
              <w:pStyle w:val="TableContents"/>
              <w:bidi w:val="0"/>
              <w:spacing w:before="0" w:after="0"/>
              <w:ind w:left="2160" w:right="0" w:hanging="2160"/>
              <w:jc w:val="right"/>
              <w:rPr>
                <w:rFonts w:ascii="Arial;Helvetica;Sans-Serif" w:hAnsi="Arial;Helvetica;Sans-Serif"/>
                <w:b w:val="false"/>
                <w:i w:val="false"/>
                <w:caps w:val="false"/>
                <w:smallCaps w:val="false"/>
                <w:color w:val="898989"/>
                <w:sz w:val="20"/>
                <w:shd w:fill="FFFFFF" w:val="clear"/>
              </w:rPr>
            </w:pPr>
            <w:r>
              <w:rPr>
                <w:rFonts w:ascii="Arial;Helvetica;Sans-Serif" w:hAnsi="Arial;Helvetica;Sans-Serif"/>
                <w:b w:val="false"/>
                <w:i w:val="false"/>
                <w:caps w:val="false"/>
                <w:smallCaps w:val="false"/>
                <w:color w:val="898989"/>
                <w:sz w:val="20"/>
                <w:shd w:fill="FFFFFF" w:val="clear"/>
              </w:rPr>
              <w:t>41280 Bridge St Novi, MI 48375</w:t>
              <w:br/>
              <w:t>P: 517.543.6400</w:t>
            </w:r>
          </w:p>
          <w:p>
            <w:pPr>
              <w:pStyle w:val="TableContents"/>
              <w:bidi w:val="0"/>
              <w:spacing w:before="0" w:after="0"/>
              <w:ind w:left="2160" w:right="0" w:hanging="2160"/>
              <w:jc w:val="right"/>
              <w:rPr>
                <w:caps w:val="false"/>
                <w:smallCaps w:val="false"/>
                <w:color w:val="898989"/>
              </w:rPr>
            </w:pPr>
            <w:r>
              <w:rPr>
                <w:caps w:val="false"/>
                <w:smallCaps w:val="false"/>
                <w:color w:val="898989"/>
              </w:rPr>
              <w:t> </w:t>
            </w:r>
          </w:p>
          <w:p>
            <w:pPr>
              <w:pStyle w:val="TableContents"/>
              <w:shd w:fill="FFFFFF" w:val="clear"/>
              <w:bidi w:val="0"/>
              <w:spacing w:before="0" w:after="0"/>
              <w:ind w:left="0" w:right="0" w:hanging="0"/>
              <w:jc w:val="right"/>
              <w:rPr>
                <w:rFonts w:ascii="Arial;Helvetica;Sans-Serif" w:hAnsi="Arial;Helvetica;Sans-Serif"/>
                <w:b/>
                <w:i w:val="false"/>
                <w:caps/>
                <w:sz w:val="20"/>
              </w:rPr>
            </w:pPr>
            <w:r>
              <w:rPr>
                <w:rFonts w:ascii="Arial;Helvetica;Sans-Serif" w:hAnsi="Arial;Helvetica;Sans-Serif"/>
                <w:b/>
                <w:i w:val="false"/>
                <w:caps/>
                <w:sz w:val="20"/>
              </w:rPr>
              <w:t>THESHYFTGROUP.COM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Shyft Group to Hold Special Meeting of the Shareholders of Shyft on Proposed Merger with Aebi Schmidt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NOVI, Mich., May 12, 2025 –</w:t>
      </w:r>
      <w:r>
        <w:rPr>
          <w:rFonts w:ascii="Arial;Helvetica;Sans-Serif" w:hAnsi="Arial;Helvetica;Sans-Serif"/>
          <w:b w:val="false"/>
          <w:i w:val="false"/>
          <w:caps w:val="false"/>
          <w:smallCaps w:val="false"/>
          <w:sz w:val="20"/>
        </w:rPr>
        <w:t xml:space="preserve"> The Shyft Group, Inc. (NASDAQ: SHYF) (“Shyft”), the North American leader in specialty vehicle manufacturing, assembly and upfit for the commercial, retail and service specialty vehicle markets, today announced that it has set the date for the special meeting of the shareholders of Shyft (the “Special Meeting”) to consider and vote on the proposal to approve the merger agreement (the “Merger Agreement”) relating to the previously announced proposed merger (the “Merger”) of an indirect, wholly owned subsidiary of Aebi Schmidt Holdings, AG (“Aebi Schmidt”) with and into Shyft. The Special Meeting will be held on June 17, 2025 for Shyft shareholders of record as of the close of business on May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the Transaction</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December 16, 2024, Shyft announced that it had entered into a definitive agreement to combine with Aebi Schmidt in an all-stock merger to create a leading specialty vehicles company. Under the terms of the agreement, each outstanding share of Shyft common stock will be exchanged for approximately 1.04 shares of the combined company’s common stock. At closing, Shyft shareholders will own 48 percent of the combined company, with Aebi Schmidt shareholders owning 52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Transaction, which is structured to be tax-free to Shyft shareholders, was unanimously approved by the boards of directors present of both companies and is expected to be completed shortly after the Special Meeting, subject to approval thereof at the Special Meeting by Shyft’s shareholders, the declaration by the SEC of the effectiveness of a registration statement on Form S-4 registering certain equity issuable pursuant to the Merger Agreement, and the satisfaction or waiver of certain other closing conditions specified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Upon consummation of the Merger, the combined company is expected to be named Aebi Schmidt Group, and its shares will be listed and traded on Nasdaq under the ticker symbol “AEBI”.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The Shyft Group</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Shyft is the North American leader in specialty vehicle manufacturing, assembly, and upfit for the commercial, retail, and service specialty vehicle markets. Our customers include first-to-last mile delivery companies across vocations, federal, state, and local government entities; the trades; and utility and infrastructure segments. Shyft is organized into two core business units: Shyft Fleet Vehicles and Services™ and Shyft Specialty Vehicles™. Today, its family of brands include Utilimaster®, Blue Arc™ EV Solutions, Royal® Truck Body, DuraMag® and Magnum®, Strobes-R-Us, Spartan® RV Chassis, Builtmore Contract Manufacturing™, and Independent Truck Upfitters. Shyft and its go-to-market brands are well known in their respective industries for quality, durability, and first-to-market innovation. Shyft employs approximately 2,900 employees and contractors across campuses, and operates facilities in Arizona, California, Florida, Indiana, Iowa, Maine, Michigan, Missouri, Pennsylvania, Tennessee, Texas, and Saltillo, Mexico. Shyft reported sales of $786 million in 2024. Investor materials are available on The Shyft Group Investor Relations site and on the merger microsite, A Specialty Vehicles Leader.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7010" w:type="dxa"/>
        <w:jc w:val="left"/>
        <w:tblInd w:w="0" w:type="dxa"/>
        <w:tblLayout w:type="fixed"/>
        <w:tblCellMar>
          <w:top w:w="0" w:type="dxa"/>
          <w:left w:w="0" w:type="dxa"/>
          <w:bottom w:w="0" w:type="dxa"/>
          <w:right w:w="0" w:type="dxa"/>
        </w:tblCellMar>
      </w:tblPr>
      <w:tblGrid>
        <w:gridCol w:w="4200"/>
        <w:gridCol w:w="2810"/>
      </w:tblGrid>
      <w:tr>
        <w:trPr/>
        <w:tc>
          <w:tcPr>
            <w:tcW w:w="4200" w:type="dxa"/>
            <w:tcBorders/>
            <w:vAlign w:val="center"/>
          </w:tcPr>
          <w:p>
            <w:pPr>
              <w:pStyle w:val="TableContents"/>
              <w:bidi w:val="0"/>
              <w:spacing w:before="0" w:after="283"/>
              <w:jc w:val="left"/>
              <w:rPr/>
            </w:pPr>
            <w:r>
              <w:rPr/>
              <w:drawing>
                <wp:inline distT="0" distB="0" distL="0" distR="0">
                  <wp:extent cx="261937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19375" cy="419100"/>
                          </a:xfrm>
                          <a:prstGeom prst="rect">
                            <a:avLst/>
                          </a:prstGeom>
                        </pic:spPr>
                      </pic:pic>
                    </a:graphicData>
                  </a:graphic>
                </wp:inline>
              </w:drawing>
            </w:r>
            <w:r>
              <w:rPr/>
              <w:t> </w:t>
            </w:r>
          </w:p>
        </w:tc>
        <w:tc>
          <w:tcPr>
            <w:tcW w:w="2810" w:type="dxa"/>
            <w:tcBorders/>
            <w:vAlign w:val="center"/>
          </w:tcPr>
          <w:p>
            <w:pPr>
              <w:pStyle w:val="TableContents"/>
              <w:bidi w:val="0"/>
              <w:spacing w:before="0" w:after="0"/>
              <w:ind w:left="2160" w:right="0" w:hanging="2160"/>
              <w:jc w:val="right"/>
              <w:rPr>
                <w:rFonts w:ascii="Arial;Helvetica;Sans-Serif" w:hAnsi="Arial;Helvetica;Sans-Serif"/>
                <w:b w:val="false"/>
                <w:i w:val="false"/>
                <w:caps w:val="false"/>
                <w:smallCaps w:val="false"/>
                <w:color w:val="898989"/>
                <w:sz w:val="20"/>
                <w:shd w:fill="FFFFFF" w:val="clear"/>
              </w:rPr>
            </w:pPr>
            <w:r>
              <w:rPr>
                <w:rFonts w:ascii="Arial;Helvetica;Sans-Serif" w:hAnsi="Arial;Helvetica;Sans-Serif"/>
                <w:b w:val="false"/>
                <w:i w:val="false"/>
                <w:caps w:val="false"/>
                <w:smallCaps w:val="false"/>
                <w:color w:val="898989"/>
                <w:sz w:val="20"/>
                <w:shd w:fill="FFFFFF" w:val="clear"/>
              </w:rPr>
              <w:t>41280 Bridge St Novi, MI 48375</w:t>
              <w:br/>
              <w:t>P: 517.543.6400</w:t>
            </w:r>
          </w:p>
          <w:p>
            <w:pPr>
              <w:pStyle w:val="TableContents"/>
              <w:bidi w:val="0"/>
              <w:spacing w:before="0" w:after="0"/>
              <w:ind w:left="2160" w:right="0" w:hanging="2160"/>
              <w:jc w:val="right"/>
              <w:rPr>
                <w:caps w:val="false"/>
                <w:smallCaps w:val="false"/>
                <w:color w:val="898989"/>
              </w:rPr>
            </w:pPr>
            <w:r>
              <w:rPr>
                <w:caps w:val="false"/>
                <w:smallCaps w:val="false"/>
                <w:color w:val="898989"/>
              </w:rPr>
              <w:t> </w:t>
            </w:r>
          </w:p>
          <w:p>
            <w:pPr>
              <w:pStyle w:val="TableContents"/>
              <w:shd w:fill="FFFFFF" w:val="clear"/>
              <w:bidi w:val="0"/>
              <w:spacing w:before="0" w:after="0"/>
              <w:ind w:left="0" w:right="0" w:hanging="0"/>
              <w:jc w:val="right"/>
              <w:rPr>
                <w:rFonts w:ascii="Arial;Helvetica;Sans-Serif" w:hAnsi="Arial;Helvetica;Sans-Serif"/>
                <w:b/>
                <w:i w:val="false"/>
                <w:caps/>
                <w:sz w:val="20"/>
              </w:rPr>
            </w:pPr>
            <w:r>
              <w:rPr>
                <w:rFonts w:ascii="Arial;Helvetica;Sans-Serif" w:hAnsi="Arial;Helvetica;Sans-Serif"/>
                <w:b/>
                <w:i w:val="false"/>
                <w:caps/>
                <w:sz w:val="20"/>
              </w:rPr>
              <w:t>THESHYFTGROUP.COM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Forward-Looking Statements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statements in this press release are forward-looking statements. In some cases, Shyft has identified forward-looking statements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Shyft based on currently available information. These forward-looking statements may include projections of Shyft’s future financial performance, Shyft’s anticipated growth strategies and anticipated trends in Shyft’s business. These statements are only predictions based on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Shyft’s, Aebi Schmidt’s and, following the completion of the proposed transaction, the combined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 common stock; uncertainty as to the long-term value of the combined company’s common stock; and the diversion of Shyft’s and Aebi Schmidt’s management’s time on transaction-related matters. These risks, as well as other risks associated with the businesses of Shyft and Aebi Schmidt, are more fully discussed in the combined proxy statement/prospectus. Although management believes the expectations reflected in the forward-looking statements are reasonable, Shyft cannot guarantee future results, level of activity, performance or achievements. Moreover, neither management, Shyft nor any other person assumes responsibility for the accuracy and completeness of any of these forward-looking statements. Shyft wishes to caution readers not to place undue reliance on any such forward-looking statements, which speak only as of the date made. Shyft is under no duty to and specifically declines to undertake any obligation to publicly revise or update any of these forward-looking statements after the date of this press release to conform its prior statements to actual results, revised expectations or to reflect the occurrence of anticipated or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7010" w:type="dxa"/>
        <w:jc w:val="left"/>
        <w:tblInd w:w="0" w:type="dxa"/>
        <w:tblLayout w:type="fixed"/>
        <w:tblCellMar>
          <w:top w:w="0" w:type="dxa"/>
          <w:left w:w="0" w:type="dxa"/>
          <w:bottom w:w="0" w:type="dxa"/>
          <w:right w:w="0" w:type="dxa"/>
        </w:tblCellMar>
      </w:tblPr>
      <w:tblGrid>
        <w:gridCol w:w="4200"/>
        <w:gridCol w:w="2810"/>
      </w:tblGrid>
      <w:tr>
        <w:trPr/>
        <w:tc>
          <w:tcPr>
            <w:tcW w:w="4200" w:type="dxa"/>
            <w:tcBorders/>
            <w:vAlign w:val="center"/>
          </w:tcPr>
          <w:p>
            <w:pPr>
              <w:pStyle w:val="TableContents"/>
              <w:bidi w:val="0"/>
              <w:spacing w:before="0" w:after="283"/>
              <w:jc w:val="left"/>
              <w:rPr/>
            </w:pPr>
            <w:r>
              <w:rPr/>
              <w:drawing>
                <wp:inline distT="0" distB="0" distL="0" distR="0">
                  <wp:extent cx="2619375"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19375" cy="419100"/>
                          </a:xfrm>
                          <a:prstGeom prst="rect">
                            <a:avLst/>
                          </a:prstGeom>
                        </pic:spPr>
                      </pic:pic>
                    </a:graphicData>
                  </a:graphic>
                </wp:inline>
              </w:drawing>
            </w:r>
            <w:r>
              <w:rPr/>
              <w:t> </w:t>
            </w:r>
          </w:p>
        </w:tc>
        <w:tc>
          <w:tcPr>
            <w:tcW w:w="2810" w:type="dxa"/>
            <w:tcBorders/>
            <w:vAlign w:val="center"/>
          </w:tcPr>
          <w:p>
            <w:pPr>
              <w:pStyle w:val="TableContents"/>
              <w:bidi w:val="0"/>
              <w:spacing w:before="0" w:after="0"/>
              <w:ind w:left="2160" w:right="0" w:hanging="2160"/>
              <w:jc w:val="right"/>
              <w:rPr>
                <w:rFonts w:ascii="Arial;Helvetica;Sans-Serif" w:hAnsi="Arial;Helvetica;Sans-Serif"/>
                <w:b w:val="false"/>
                <w:i w:val="false"/>
                <w:caps w:val="false"/>
                <w:smallCaps w:val="false"/>
                <w:color w:val="898989"/>
                <w:sz w:val="20"/>
                <w:shd w:fill="FFFFFF" w:val="clear"/>
              </w:rPr>
            </w:pPr>
            <w:r>
              <w:rPr>
                <w:rFonts w:ascii="Arial;Helvetica;Sans-Serif" w:hAnsi="Arial;Helvetica;Sans-Serif"/>
                <w:b w:val="false"/>
                <w:i w:val="false"/>
                <w:caps w:val="false"/>
                <w:smallCaps w:val="false"/>
                <w:color w:val="898989"/>
                <w:sz w:val="20"/>
                <w:shd w:fill="FFFFFF" w:val="clear"/>
              </w:rPr>
              <w:t>41280 Bridge St Novi, MI 48375</w:t>
              <w:br/>
              <w:t>P: 517.543.6400</w:t>
            </w:r>
          </w:p>
          <w:p>
            <w:pPr>
              <w:pStyle w:val="TableContents"/>
              <w:bidi w:val="0"/>
              <w:spacing w:before="0" w:after="0"/>
              <w:ind w:left="2160" w:right="0" w:hanging="2160"/>
              <w:jc w:val="right"/>
              <w:rPr>
                <w:caps w:val="false"/>
                <w:smallCaps w:val="false"/>
                <w:color w:val="898989"/>
              </w:rPr>
            </w:pPr>
            <w:r>
              <w:rPr>
                <w:caps w:val="false"/>
                <w:smallCaps w:val="false"/>
                <w:color w:val="898989"/>
              </w:rPr>
              <w:t> </w:t>
            </w:r>
          </w:p>
          <w:p>
            <w:pPr>
              <w:pStyle w:val="TableContents"/>
              <w:shd w:fill="FFFFFF" w:val="clear"/>
              <w:bidi w:val="0"/>
              <w:spacing w:before="0" w:after="0"/>
              <w:ind w:left="0" w:right="0" w:hanging="0"/>
              <w:jc w:val="right"/>
              <w:rPr>
                <w:rFonts w:ascii="Arial;Helvetica;Sans-Serif" w:hAnsi="Arial;Helvetica;Sans-Serif"/>
                <w:b/>
                <w:i w:val="false"/>
                <w:caps/>
                <w:sz w:val="20"/>
              </w:rPr>
            </w:pPr>
            <w:r>
              <w:rPr>
                <w:rFonts w:ascii="Arial;Helvetica;Sans-Serif" w:hAnsi="Arial;Helvetica;Sans-Serif"/>
                <w:b/>
                <w:i w:val="false"/>
                <w:caps/>
                <w:sz w:val="20"/>
              </w:rPr>
              <w:t>THESHYFTGROUP.COM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 information concerning these and other factors that may impact Shyft’s and Aebi Schmidt’s expectations and projections can be found in Shyft’s periodic filings with the Securities and Exchange Commission (“SEC”), including Shyft’s Annual Report on Form 10-K for the fiscal year ended December 31, 2024, and any subsequent Quarterly Reports on Form 10-Q and Current Reports on Form 8-K. Shyft’s SEC filings are available publicly on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 Offer or Solicitation</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Securities Act, or pursuant to an exemption from, or in a transaction not subject to, such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Participants in the Solicitation</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Shyft, Aebi Schmidt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 be deemed participants in the solicitation of proxies in connection with the proposed transaction, including a description of their direct or indirect interests in the transaction, by security holdings or otherwise, are set forth in the combined proxy statement/prospectus and other relevant materials filed with the SEC. Information regarding the directors and executive officers of Shyft is contained in the sections entitled “Election of Directors” and “Ownership of Securities” included in Shyft’s proxy statement for the 2025 annual meeting of stockholders, which was filed with the SEC on March 31, 2025 (and which is available at sec.gov/Archives/edgar/data/743238/000114036125011166/ny20039255x1_def14a.htm) and in the section entitled “Directors, Executive Officers, and Corporate Governance” included in Shyft’s Annual Report on Form 10-K for the year ended December 31, 2024, which was filed with the SEC on February 20, 2025 (and which is available at https://www.sec.gov/ix?doc=/Archives/edgar/data/0000743238/000143774925004501/shyf20241231c_10k.htm), and certain of its Current Reports filed on Form 8-K. These documents can be obtained free of charge from the sources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7010" w:type="dxa"/>
        <w:jc w:val="left"/>
        <w:tblInd w:w="0" w:type="dxa"/>
        <w:tblLayout w:type="fixed"/>
        <w:tblCellMar>
          <w:top w:w="0" w:type="dxa"/>
          <w:left w:w="0" w:type="dxa"/>
          <w:bottom w:w="0" w:type="dxa"/>
          <w:right w:w="0" w:type="dxa"/>
        </w:tblCellMar>
      </w:tblPr>
      <w:tblGrid>
        <w:gridCol w:w="4200"/>
        <w:gridCol w:w="2810"/>
      </w:tblGrid>
      <w:tr>
        <w:trPr/>
        <w:tc>
          <w:tcPr>
            <w:tcW w:w="4200" w:type="dxa"/>
            <w:tcBorders/>
            <w:vAlign w:val="center"/>
          </w:tcPr>
          <w:p>
            <w:pPr>
              <w:pStyle w:val="TableContents"/>
              <w:bidi w:val="0"/>
              <w:spacing w:before="0" w:after="283"/>
              <w:jc w:val="left"/>
              <w:rPr/>
            </w:pPr>
            <w:r>
              <w:rPr/>
              <w:drawing>
                <wp:inline distT="0" distB="0" distL="0" distR="0">
                  <wp:extent cx="2619375"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19375" cy="419100"/>
                          </a:xfrm>
                          <a:prstGeom prst="rect">
                            <a:avLst/>
                          </a:prstGeom>
                        </pic:spPr>
                      </pic:pic>
                    </a:graphicData>
                  </a:graphic>
                </wp:inline>
              </w:drawing>
            </w:r>
            <w:r>
              <w:rPr/>
              <w:t> </w:t>
            </w:r>
          </w:p>
        </w:tc>
        <w:tc>
          <w:tcPr>
            <w:tcW w:w="2810" w:type="dxa"/>
            <w:tcBorders/>
            <w:vAlign w:val="center"/>
          </w:tcPr>
          <w:p>
            <w:pPr>
              <w:pStyle w:val="TableContents"/>
              <w:bidi w:val="0"/>
              <w:spacing w:before="0" w:after="0"/>
              <w:ind w:left="2160" w:right="0" w:hanging="2160"/>
              <w:jc w:val="right"/>
              <w:rPr>
                <w:rFonts w:ascii="Arial;Helvetica;Sans-Serif" w:hAnsi="Arial;Helvetica;Sans-Serif"/>
                <w:b w:val="false"/>
                <w:i w:val="false"/>
                <w:caps w:val="false"/>
                <w:smallCaps w:val="false"/>
                <w:color w:val="898989"/>
                <w:sz w:val="20"/>
                <w:shd w:fill="FFFFFF" w:val="clear"/>
              </w:rPr>
            </w:pPr>
            <w:r>
              <w:rPr>
                <w:rFonts w:ascii="Arial;Helvetica;Sans-Serif" w:hAnsi="Arial;Helvetica;Sans-Serif"/>
                <w:b w:val="false"/>
                <w:i w:val="false"/>
                <w:caps w:val="false"/>
                <w:smallCaps w:val="false"/>
                <w:color w:val="898989"/>
                <w:sz w:val="20"/>
                <w:shd w:fill="FFFFFF" w:val="clear"/>
              </w:rPr>
              <w:t>41280 Bridge St Novi, MI 48375</w:t>
              <w:br/>
              <w:t>P: 517.543.6400</w:t>
            </w:r>
          </w:p>
          <w:p>
            <w:pPr>
              <w:pStyle w:val="TableContents"/>
              <w:bidi w:val="0"/>
              <w:spacing w:before="0" w:after="0"/>
              <w:ind w:left="2160" w:right="0" w:hanging="2160"/>
              <w:jc w:val="right"/>
              <w:rPr>
                <w:caps w:val="false"/>
                <w:smallCaps w:val="false"/>
                <w:color w:val="898989"/>
              </w:rPr>
            </w:pPr>
            <w:r>
              <w:rPr>
                <w:caps w:val="false"/>
                <w:smallCaps w:val="false"/>
                <w:color w:val="898989"/>
              </w:rPr>
              <w:t> </w:t>
            </w:r>
          </w:p>
          <w:p>
            <w:pPr>
              <w:pStyle w:val="TableContents"/>
              <w:shd w:fill="FFFFFF" w:val="clear"/>
              <w:bidi w:val="0"/>
              <w:spacing w:before="0" w:after="0"/>
              <w:ind w:left="0" w:right="0" w:hanging="0"/>
              <w:jc w:val="right"/>
              <w:rPr>
                <w:rFonts w:ascii="Arial;Helvetica;Sans-Serif" w:hAnsi="Arial;Helvetica;Sans-Serif"/>
                <w:b/>
                <w:i w:val="false"/>
                <w:caps/>
                <w:sz w:val="20"/>
              </w:rPr>
            </w:pPr>
            <w:r>
              <w:rPr>
                <w:rFonts w:ascii="Arial;Helvetica;Sans-Serif" w:hAnsi="Arial;Helvetica;Sans-Serif"/>
                <w:b/>
                <w:i w:val="false"/>
                <w:caps/>
                <w:sz w:val="20"/>
              </w:rPr>
              <w:t>THESHYFTGROUP.COM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Additional Information and Where to Find It</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Aebi Schmidt has filed a registration statement on Form S-4 with the SEC in connection with the proposed transaction. The Form S-4 contains a combined proxy statement/prospectus of Shyft and Aebi Schmidt. Aebi Schmidt and Shyft prepared and filed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when filed free of charge on the SEC’s web site at www.sec.gov. Copies of documents filed with the SEC by Shyft will be made available free of charge on Shyft’s investor relations website at https://theshyftgroup.com/investor-relations/.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CONTACTS</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MEDIA</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Sydney Machesky</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 Corporate Communications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Sydney.Machesky@theshyftgroup.com</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586.413.4112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INVESTORS</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Randy Wilson</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Vice President, Investor Relations and Treasury</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Randy.Wilson@theshyftgroup.com</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248.727.3755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w:t>
      </w:r>
      <w:r>
        <w:rPr>
          <w:rFonts w:ascii="Arial;Helvetica;Sans-Serif" w:hAnsi="Arial;Helvetica;Sans-Serif"/>
          <w:b/>
          <w:i w:val="false"/>
          <w:caps w:val="false"/>
          <w:smallCaps w:val="false"/>
          <w:sz w:val="20"/>
        </w:rPr>
        <w:t>Securities Act</w:t>
      </w:r>
      <w:r>
        <w:rPr>
          <w:rFonts w:ascii="Arial;Helvetica;Sans-Serif" w:hAnsi="Arial;Helvetica;Sans-Serif"/>
          <w:b w:val="false"/>
          <w:i w:val="false"/>
          <w:caps w:val="false"/>
          <w:smallCaps w:val="false"/>
          <w:sz w:val="20"/>
        </w:rPr>
        <w:t>”), or pursuant to an exemption from, or in a transaction not subject to, such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Shyft, Aebi Schmidt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Securities and Exchange Commission (“</w:t>
      </w:r>
      <w:r>
        <w:rPr>
          <w:rFonts w:ascii="Arial;Helvetica;Sans-Serif" w:hAnsi="Arial;Helvetica;Sans-Serif"/>
          <w:b/>
          <w:i w:val="false"/>
          <w:caps w:val="false"/>
          <w:smallCaps w:val="false"/>
          <w:sz w:val="20"/>
        </w:rPr>
        <w:t>SEC</w:t>
      </w:r>
      <w:r>
        <w:rPr>
          <w:rFonts w:ascii="Arial;Helvetica;Sans-Serif" w:hAnsi="Arial;Helvetica;Sans-Serif"/>
          <w:b w:val="false"/>
          <w:i w:val="false"/>
          <w:caps w:val="false"/>
          <w:smallCaps w:val="false"/>
          <w:sz w:val="20"/>
        </w:rPr>
        <w:t>”), be deemed participants in the solicitation of proxies in connection with the proposed transaction, including a description of their direct or indirect interests in the transaction, by security holdings or otherwise, are set forth in the combined proxy statement/prospectus and other relevant materials filed with the SEC. Information regarding the directors and executive officers of Shyft is contained in the sections entitled “</w:t>
      </w:r>
      <w:r>
        <w:rPr>
          <w:rFonts w:ascii="Arial;Helvetica;Sans-Serif" w:hAnsi="Arial;Helvetica;Sans-Serif"/>
          <w:b w:val="false"/>
          <w:i/>
          <w:caps w:val="false"/>
          <w:smallCaps w:val="false"/>
          <w:sz w:val="20"/>
        </w:rPr>
        <w:t>Election of Directors</w:t>
      </w:r>
      <w:r>
        <w:rPr>
          <w:rFonts w:ascii="Arial;Helvetica;Sans-Serif" w:hAnsi="Arial;Helvetica;Sans-Serif"/>
          <w:b w:val="false"/>
          <w:i w:val="false"/>
          <w:caps w:val="false"/>
          <w:smallCaps w:val="false"/>
          <w:sz w:val="20"/>
        </w:rPr>
        <w:t>” and “</w:t>
      </w:r>
      <w:r>
        <w:rPr>
          <w:rFonts w:ascii="Arial;Helvetica;Sans-Serif" w:hAnsi="Arial;Helvetica;Sans-Serif"/>
          <w:b w:val="false"/>
          <w:i/>
          <w:caps w:val="false"/>
          <w:smallCaps w:val="false"/>
          <w:sz w:val="20"/>
        </w:rPr>
        <w:t>Ownership of Securities</w:t>
      </w:r>
      <w:r>
        <w:rPr>
          <w:rFonts w:ascii="Arial;Helvetica;Sans-Serif" w:hAnsi="Arial;Helvetica;Sans-Serif"/>
          <w:b w:val="false"/>
          <w:i w:val="false"/>
          <w:caps w:val="false"/>
          <w:smallCaps w:val="false"/>
          <w:sz w:val="20"/>
        </w:rPr>
        <w:t xml:space="preserve">” included in Shyft’s proxy statement for the 2025 annual meeting of stockholders, which was filed with the SEC on March 31, 2025 (and which is available at </w:t>
      </w:r>
      <w:r>
        <w:rPr>
          <w:rFonts w:ascii="Arial;Helvetica;Sans-Serif" w:hAnsi="Arial;Helvetica;Sans-Serif"/>
          <w:b w:val="false"/>
          <w:i w:val="false"/>
          <w:caps w:val="false"/>
          <w:smallCaps w:val="false"/>
          <w:sz w:val="20"/>
          <w:u w:val="single"/>
        </w:rPr>
        <w:t>https://www.sec.gov/ix?doc=/Archives/edgar/data/0000743238/000114036125011166/ny20039255x1_def14a.htm</w:t>
      </w:r>
      <w:r>
        <w:rPr>
          <w:rFonts w:ascii="Arial;Helvetica;Sans-Serif" w:hAnsi="Arial;Helvetica;Sans-Serif"/>
          <w:b w:val="false"/>
          <w:i w:val="false"/>
          <w:caps w:val="false"/>
          <w:smallCaps w:val="false"/>
          <w:sz w:val="20"/>
        </w:rPr>
        <w:t>) and in the section entitled “</w:t>
      </w:r>
      <w:r>
        <w:rPr>
          <w:rFonts w:ascii="Arial;Helvetica;Sans-Serif" w:hAnsi="Arial;Helvetica;Sans-Serif"/>
          <w:b w:val="false"/>
          <w:i/>
          <w:caps w:val="false"/>
          <w:smallCaps w:val="false"/>
          <w:sz w:val="20"/>
        </w:rPr>
        <w:t>Directors, Executive Officers and Corporate Governance</w:t>
      </w:r>
      <w:r>
        <w:rPr>
          <w:rFonts w:ascii="Arial;Helvetica;Sans-Serif" w:hAnsi="Arial;Helvetica;Sans-Serif"/>
          <w:b w:val="false"/>
          <w:i w:val="false"/>
          <w:caps w:val="false"/>
          <w:smallCaps w:val="false"/>
          <w:sz w:val="20"/>
        </w:rPr>
        <w:t xml:space="preserve">” included in Shyft’s Annual Report on Form 10-K for the year ended December 31, 2024, which was filed with the SEC on February 20, 2025 (and which is available at </w:t>
      </w:r>
      <w:r>
        <w:rPr>
          <w:rFonts w:ascii="Arial;Helvetica;Sans-Serif" w:hAnsi="Arial;Helvetica;Sans-Serif"/>
          <w:b w:val="false"/>
          <w:i w:val="false"/>
          <w:caps w:val="false"/>
          <w:smallCaps w:val="false"/>
          <w:sz w:val="20"/>
          <w:u w:val="single"/>
        </w:rPr>
        <w:t>https://www.sec.gov/ix?doc=/Archives/edgar/data/0000743238/000143774925004501/shyf20241231c_10k.htm</w:t>
      </w:r>
      <w:r>
        <w:rPr>
          <w:rFonts w:ascii="Arial;Helvetica;Sans-Serif" w:hAnsi="Arial;Helvetica;Sans-Serif"/>
          <w:b w:val="false"/>
          <w:i w:val="false"/>
          <w:caps w:val="false"/>
          <w:smallCaps w:val="false"/>
          <w:sz w:val="20"/>
        </w:rPr>
        <w:t>), and certain of its Current Reports filed on Form 8-K. These documents can be obtained free of charge from the sources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Aebi Schmidt filed a registration statement on Form S-4 with the SEC in connection with the proposed transaction. The Form S-4 contains a combined proxy statement/prospectus of Shyft and Aebi Schmidt. Aebi Schmidt and Shyft prepared and filed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when filed free of charge on the SEC’s web site at www.sec.gov. Copies of documents filed with the SEC by Shyft will be made available free of charge on Shyft’s investor relations website at https://theshyftgroup.com/investor-relations/.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statements in this communication are forward-looking statements. In some cases, Shyft has identified forward-looking statements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Shyft based on currently available information. These forward-looking statements may include projections of Shyft’s future financial performance, Shyft’s anticipated growth strategies and anticipated trends in Shyft’s business. These statements are only predictions based on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Shyft’s, Aebi Schmidt’s and, following the completion of the proposed transaction, the combined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 common stock; uncertainty as to the long-term value of the combined company’s common stock; and the diversion of Shyft’s and Aebi Schmidt’s management’s time on transaction-related matters. These risks, as well as other risks associated with the businesses of Shyft and Aebi Schmidt, are more fully discussed in the combined proxy statement/prospectus. Although management believes the expectations reflected in the forward-looking statements are reasonable, Shyft cannot guarantee future results, level of activity, performance or achievements. Moreover, neither management, Shyft nor any other person assumes responsibility for the accuracy and completeness of any of these forward-looking statements. Shyft wishes to caution readers not to place undue reliance on any such forward-looking statements, which speak only as of the date made. Shyft is under no duty to and specifically declines to undertake any obligation to publicly revise or update any of these forward-looking statements after the date of this communication to conform its prior statements to actual results, revised expectations or to reflect the occurrence of anticipated or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 information concerning these and other factors that may impact Shyft’s and Aebi Schmidt’s expectations and projections can be found in Shyft’s periodic filings with the SEC, including Shyft’s Annual Report on Form 10-K for the fiscal year ended December 31, 2024, and any subsequent Quarterly Reports on Form 10-Q and Current Reports on Form 8-K. Shyft’s SEC filings are available publicly on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3262</Words>
  <Characters>19562</Characters>
  <CharactersWithSpaces>22821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