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Georgia" w:cs="Georgia" w:eastAsia="Georgia" w:hAnsi="Georgia"/>
          <w:sz w:val="22"/>
          <w:szCs w:val="22"/>
          <w:b w:val="1"/>
          <w:bCs w:val="1"/>
          <w:color w:val="auto"/>
        </w:rPr>
        <w:t>UNITED STATES</w:t>
      </w:r>
    </w:p>
    <w:p>
      <w:pPr>
        <w:spacing w:after="0" w:line="7"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SECURITIES AND EXCHANGE COMMISSION</w:t>
      </w:r>
    </w:p>
    <w:p>
      <w:pPr>
        <w:jc w:val="center"/>
        <w:ind w:right="-59"/>
        <w:spacing w:after="0" w:line="238" w:lineRule="auto"/>
        <w:rPr>
          <w:sz w:val="20"/>
          <w:szCs w:val="20"/>
          <w:color w:val="auto"/>
        </w:rPr>
      </w:pPr>
      <w:r>
        <w:rPr>
          <w:rFonts w:ascii="Georgia" w:cs="Georgia" w:eastAsia="Georgia" w:hAnsi="Georgia"/>
          <w:sz w:val="20"/>
          <w:szCs w:val="20"/>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SCHEDULE 13G</w:t>
      </w:r>
    </w:p>
    <w:p>
      <w:pPr>
        <w:spacing w:after="0" w:line="200" w:lineRule="exact"/>
        <w:rPr>
          <w:sz w:val="24"/>
          <w:szCs w:val="24"/>
          <w:color w:val="auto"/>
        </w:rPr>
      </w:pPr>
    </w:p>
    <w:p>
      <w:pPr>
        <w:spacing w:after="0" w:line="209" w:lineRule="exact"/>
        <w:rPr>
          <w:sz w:val="24"/>
          <w:szCs w:val="24"/>
          <w:color w:val="auto"/>
        </w:rPr>
      </w:pPr>
    </w:p>
    <w:p>
      <w:pPr>
        <w:jc w:val="center"/>
        <w:ind w:right="-59"/>
        <w:spacing w:after="0"/>
        <w:rPr>
          <w:sz w:val="20"/>
          <w:szCs w:val="20"/>
          <w:color w:val="auto"/>
        </w:rPr>
      </w:pPr>
      <w:r>
        <w:rPr>
          <w:rFonts w:ascii="Georgia" w:cs="Georgia" w:eastAsia="Georgia" w:hAnsi="Georgia"/>
          <w:sz w:val="20"/>
          <w:szCs w:val="20"/>
          <w:b w:val="1"/>
          <w:bCs w:val="1"/>
          <w:color w:val="auto"/>
        </w:rPr>
        <w:t>Under the Securities Exchange Act of 1934</w:t>
      </w:r>
    </w:p>
    <w:p>
      <w:pPr>
        <w:jc w:val="center"/>
        <w:ind w:right="-59"/>
        <w:spacing w:after="0" w:line="236" w:lineRule="auto"/>
        <w:rPr>
          <w:sz w:val="20"/>
          <w:szCs w:val="20"/>
          <w:color w:val="auto"/>
        </w:rPr>
      </w:pPr>
      <w:r>
        <w:rPr>
          <w:rFonts w:ascii="Georgia" w:cs="Georgia" w:eastAsia="Georgia" w:hAnsi="Georgia"/>
          <w:sz w:val="20"/>
          <w:szCs w:val="20"/>
          <w:b w:val="1"/>
          <w:bCs w:val="1"/>
          <w:color w:val="auto"/>
        </w:rPr>
        <w:t>(Amendment No. 2)*</w:t>
      </w:r>
    </w:p>
    <w:p>
      <w:pPr>
        <w:spacing w:after="0" w:line="200" w:lineRule="exact"/>
        <w:rPr>
          <w:sz w:val="24"/>
          <w:szCs w:val="24"/>
          <w:color w:val="auto"/>
        </w:rPr>
      </w:pPr>
    </w:p>
    <w:p>
      <w:pPr>
        <w:spacing w:after="0" w:line="202"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SHYFT GROUP, INC.</w:t>
      </w:r>
    </w:p>
    <w:p>
      <w:pPr>
        <w:jc w:val="center"/>
        <w:ind w:right="-59"/>
        <w:spacing w:after="0" w:line="238" w:lineRule="auto"/>
        <w:rPr>
          <w:sz w:val="20"/>
          <w:szCs w:val="20"/>
          <w:color w:val="auto"/>
        </w:rPr>
      </w:pPr>
      <w:r>
        <w:rPr>
          <w:rFonts w:ascii="Georgia" w:cs="Georgia" w:eastAsia="Georgia" w:hAnsi="Georgia"/>
          <w:sz w:val="20"/>
          <w:szCs w:val="20"/>
          <w:color w:val="auto"/>
        </w:rPr>
        <w:t>(Name of Issuer)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Common Stock</w:t>
      </w:r>
    </w:p>
    <w:p>
      <w:pPr>
        <w:jc w:val="center"/>
        <w:ind w:right="-59"/>
        <w:spacing w:after="0" w:line="238" w:lineRule="auto"/>
        <w:rPr>
          <w:sz w:val="20"/>
          <w:szCs w:val="20"/>
          <w:color w:val="auto"/>
        </w:rPr>
      </w:pPr>
      <w:r>
        <w:rPr>
          <w:rFonts w:ascii="Georgia" w:cs="Georgia" w:eastAsia="Georgia" w:hAnsi="Georgia"/>
          <w:sz w:val="20"/>
          <w:szCs w:val="20"/>
          <w:color w:val="auto"/>
        </w:rPr>
        <w:t>(Title of Class of Securities)</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825698103</w:t>
      </w:r>
    </w:p>
    <w:p>
      <w:pPr>
        <w:jc w:val="center"/>
        <w:ind w:right="-59"/>
        <w:spacing w:after="0" w:line="238" w:lineRule="auto"/>
        <w:rPr>
          <w:sz w:val="20"/>
          <w:szCs w:val="20"/>
          <w:color w:val="auto"/>
        </w:rPr>
      </w:pPr>
      <w:r>
        <w:rPr>
          <w:rFonts w:ascii="Georgia" w:cs="Georgia" w:eastAsia="Georgia" w:hAnsi="Georgia"/>
          <w:sz w:val="20"/>
          <w:szCs w:val="20"/>
          <w:color w:val="auto"/>
        </w:rPr>
        <w:t>(CUSIP Number)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November 01, 2023</w:t>
      </w:r>
    </w:p>
    <w:p>
      <w:pPr>
        <w:jc w:val="center"/>
        <w:ind w:right="-59"/>
        <w:spacing w:after="0" w:line="238" w:lineRule="auto"/>
        <w:rPr>
          <w:sz w:val="20"/>
          <w:szCs w:val="20"/>
          <w:color w:val="auto"/>
        </w:rPr>
      </w:pPr>
      <w:r>
        <w:rPr>
          <w:rFonts w:ascii="Georgia" w:cs="Georgia" w:eastAsia="Georgia" w:hAnsi="Georgia"/>
          <w:sz w:val="20"/>
          <w:szCs w:val="20"/>
          <w:color w:val="auto"/>
        </w:rPr>
        <w:t>(Date of Event which Requires Filing of this Statement)</w:t>
      </w:r>
    </w:p>
    <w:p>
      <w:pPr>
        <w:spacing w:after="0" w:line="399" w:lineRule="exact"/>
        <w:rPr>
          <w:sz w:val="24"/>
          <w:szCs w:val="24"/>
          <w:color w:val="auto"/>
        </w:rPr>
      </w:pPr>
    </w:p>
    <w:p>
      <w:pPr>
        <w:spacing w:after="0"/>
        <w:rPr>
          <w:sz w:val="20"/>
          <w:szCs w:val="20"/>
          <w:color w:val="auto"/>
        </w:rPr>
      </w:pPr>
      <w:r>
        <w:rPr>
          <w:rFonts w:ascii="Georgia" w:cs="Georgia" w:eastAsia="Georgia" w:hAnsi="Georgia"/>
          <w:sz w:val="18"/>
          <w:szCs w:val="18"/>
          <w:color w:val="auto"/>
        </w:rPr>
        <w:t>Check the appropriate box to designate the rule pursuant to which this Schedule is filed:</w:t>
      </w:r>
    </w:p>
    <w:p>
      <w:pPr>
        <w:spacing w:after="0" w:line="350" w:lineRule="exact"/>
        <w:rPr>
          <w:sz w:val="24"/>
          <w:szCs w:val="24"/>
          <w:color w:val="auto"/>
        </w:rPr>
      </w:pPr>
    </w:p>
    <w:p>
      <w:pPr>
        <w:jc w:val="both"/>
        <w:ind w:left="4620" w:right="4560" w:firstLine="10"/>
        <w:spacing w:after="0" w:line="237" w:lineRule="auto"/>
        <w:tabs>
          <w:tab w:leader="none" w:pos="4926" w:val="left"/>
        </w:tabs>
        <w:numPr>
          <w:ilvl w:val="1"/>
          <w:numId w:val="1"/>
        </w:numPr>
        <w:rPr>
          <w:rFonts w:ascii="Georgia" w:cs="Georgia" w:eastAsia="Georgia" w:hAnsi="Georgia"/>
          <w:sz w:val="18"/>
          <w:szCs w:val="18"/>
          <w:color w:val="auto"/>
        </w:rPr>
      </w:pPr>
      <w:r>
        <w:rPr>
          <w:rFonts w:ascii="Georgia" w:cs="Georgia" w:eastAsia="Georgia" w:hAnsi="Georgia"/>
          <w:sz w:val="18"/>
          <w:szCs w:val="18"/>
          <w:color w:val="auto"/>
        </w:rPr>
        <w:t>Rule 13d-1(b) [ ] Rule 13d-1(c) [ ] Rule 13d-1(d)</w:t>
      </w:r>
    </w:p>
    <w:p>
      <w:pPr>
        <w:spacing w:after="0" w:line="366" w:lineRule="exact"/>
        <w:rPr>
          <w:rFonts w:ascii="Georgia" w:cs="Georgia" w:eastAsia="Georgia" w:hAnsi="Georgia"/>
          <w:sz w:val="18"/>
          <w:szCs w:val="18"/>
          <w:color w:val="auto"/>
        </w:rPr>
      </w:pPr>
    </w:p>
    <w:p>
      <w:pPr>
        <w:spacing w:after="0" w:line="237" w:lineRule="auto"/>
        <w:rPr>
          <w:rFonts w:ascii="Georgia" w:cs="Georgia" w:eastAsia="Georgia" w:hAnsi="Georgia"/>
          <w:sz w:val="18"/>
          <w:szCs w:val="18"/>
          <w:color w:val="auto"/>
        </w:rPr>
      </w:pPr>
      <w:r>
        <w:rPr>
          <w:rFonts w:ascii="Georgia" w:cs="Georgia" w:eastAsia="Georgia" w:hAnsi="Georgia"/>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66" w:lineRule="exact"/>
        <w:rPr>
          <w:sz w:val="24"/>
          <w:szCs w:val="24"/>
          <w:color w:val="auto"/>
        </w:rPr>
      </w:pPr>
    </w:p>
    <w:p>
      <w:pPr>
        <w:ind w:right="100"/>
        <w:spacing w:after="0" w:line="237" w:lineRule="auto"/>
        <w:rPr>
          <w:sz w:val="20"/>
          <w:szCs w:val="20"/>
          <w:color w:val="auto"/>
        </w:rPr>
      </w:pPr>
      <w:r>
        <w:rPr>
          <w:rFonts w:ascii="Georgia" w:cs="Georgia" w:eastAsia="Georgia" w:hAnsi="Georgia"/>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80"/>
          </w:cols>
          <w:pgMar w:left="320" w:top="246" w:right="999" w:bottom="1440" w:gutter="0" w:footer="0" w:header="0"/>
        </w:sectPr>
      </w:pPr>
    </w:p>
    <w:bookmarkStart w:id="1" w:name="page2"/>
    <w:bookmarkEnd w:id="1"/>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825698103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755130" cy="42087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20878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20" w:right="7000" w:hanging="374"/>
        <w:spacing w:after="0" w:line="237" w:lineRule="auto"/>
        <w:tabs>
          <w:tab w:leader="none" w:pos="620" w:val="left"/>
        </w:tabs>
        <w:numPr>
          <w:ilvl w:val="0"/>
          <w:numId w:val="2"/>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abrdn plc</w:t>
      </w:r>
    </w:p>
    <w:p>
      <w:pPr>
        <w:spacing w:after="0" w:line="189"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spacing w:after="0" w:line="132" w:lineRule="exact"/>
        <w:rPr>
          <w:sz w:val="20"/>
          <w:szCs w:val="20"/>
          <w:color w:val="auto"/>
        </w:rPr>
      </w:pPr>
    </w:p>
    <w:p>
      <w:pPr>
        <w:ind w:left="620" w:hanging="385"/>
        <w:spacing w:after="0"/>
        <w:tabs>
          <w:tab w:leader="none" w:pos="620" w:val="left"/>
        </w:tabs>
        <w:numPr>
          <w:ilvl w:val="0"/>
          <w:numId w:val="3"/>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[X]</w:t>
      </w:r>
    </w:p>
    <w:p>
      <w:pPr>
        <w:ind w:left="900" w:hanging="271"/>
        <w:spacing w:after="0" w:line="238"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4"/>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ind w:left="620" w:right="5760" w:hanging="386"/>
        <w:spacing w:after="0" w:line="237" w:lineRule="auto"/>
        <w:tabs>
          <w:tab w:leader="none" w:pos="620" w:val="left"/>
        </w:tabs>
        <w:numPr>
          <w:ilvl w:val="0"/>
          <w:numId w:val="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United Kingdom</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w w:val="98"/>
              </w:rPr>
              <w:t>SHARES</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48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jc w:val="center"/>
              <w:spacing w:after="0" w:line="202" w:lineRule="exact"/>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2"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jc w:val="center"/>
              <w:spacing w:after="0" w:line="202"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7"/>
                <w:szCs w:val="17"/>
                <w:color w:val="auto"/>
              </w:rPr>
            </w:pPr>
          </w:p>
        </w:tc>
        <w:tc>
          <w:tcPr>
            <w:tcW w:w="8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REPORTING</w:t>
            </w:r>
          </w:p>
        </w:tc>
        <w:tc>
          <w:tcPr>
            <w:tcW w:w="520" w:type="dxa"/>
            <w:vAlign w:val="bottom"/>
            <w:tcBorders>
              <w:bottom w:val="single" w:sz="8" w:color="auto"/>
              <w:right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8480" w:type="dxa"/>
            <w:vAlign w:val="bottom"/>
            <w:vMerge w:val="restart"/>
          </w:tcPr>
          <w:p>
            <w:pPr>
              <w:ind w:left="60"/>
              <w:spacing w:after="0" w:line="203"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620" w:right="2480" w:hanging="386"/>
        <w:spacing w:after="0" w:line="237" w:lineRule="auto"/>
        <w:tabs>
          <w:tab w:leader="none" w:pos="620" w:val="left"/>
        </w:tabs>
        <w:numPr>
          <w:ilvl w:val="0"/>
          <w:numId w:val="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0</w:t>
      </w:r>
    </w:p>
    <w:p>
      <w:pPr>
        <w:spacing w:after="0" w:line="150" w:lineRule="exact"/>
        <w:rPr>
          <w:sz w:val="20"/>
          <w:szCs w:val="20"/>
          <w:color w:val="auto"/>
        </w:rPr>
      </w:pPr>
    </w:p>
    <w:p>
      <w:pPr>
        <w:ind w:left="620" w:right="1860" w:hanging="429"/>
        <w:spacing w:after="0" w:line="237" w:lineRule="auto"/>
        <w:tabs>
          <w:tab w:leader="none" w:pos="620" w:val="left"/>
        </w:tabs>
        <w:numPr>
          <w:ilvl w:val="0"/>
          <w:numId w:val="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620" w:right="4180" w:hanging="413"/>
        <w:spacing w:after="0" w:line="237" w:lineRule="auto"/>
        <w:tabs>
          <w:tab w:leader="none" w:pos="620" w:val="left"/>
        </w:tabs>
        <w:numPr>
          <w:ilvl w:val="0"/>
          <w:numId w:val="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0</w:t>
      </w:r>
    </w:p>
    <w:p>
      <w:pPr>
        <w:spacing w:after="0" w:line="150" w:lineRule="exact"/>
        <w:rPr>
          <w:sz w:val="20"/>
          <w:szCs w:val="20"/>
          <w:color w:val="auto"/>
        </w:rPr>
      </w:pPr>
    </w:p>
    <w:p>
      <w:pPr>
        <w:ind w:left="620" w:right="7100" w:hanging="424"/>
        <w:spacing w:after="0" w:line="237" w:lineRule="auto"/>
        <w:tabs>
          <w:tab w:leader="none" w:pos="620" w:val="left"/>
        </w:tabs>
        <w:numPr>
          <w:ilvl w:val="0"/>
          <w:numId w:val="9"/>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OO</w:t>
      </w:r>
    </w:p>
    <w:p>
      <w:pPr>
        <w:sectPr>
          <w:pgSz w:w="11900" w:h="16838" w:orient="portrait"/>
          <w:cols w:equalWidth="0" w:num="1">
            <w:col w:w="10640"/>
          </w:cols>
          <w:pgMar w:left="320" w:top="958" w:right="939" w:bottom="1440" w:gutter="0" w:footer="0" w:header="0"/>
        </w:sectPr>
      </w:pPr>
    </w:p>
    <w:bookmarkStart w:id="2" w:name="page3"/>
    <w:bookmarkEnd w:id="2"/>
    <w:p>
      <w:pPr>
        <w:ind w:left="30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825698103</w:t>
      </w:r>
    </w:p>
    <w:p>
      <w:pPr>
        <w:spacing w:after="0" w:line="200" w:lineRule="exact"/>
        <w:rPr>
          <w:sz w:val="20"/>
          <w:szCs w:val="20"/>
          <w:color w:val="auto"/>
        </w:rPr>
      </w:pPr>
    </w:p>
    <w:p>
      <w:pPr>
        <w:spacing w:after="0" w:line="33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1(a).</w:t>
      </w:r>
      <w:r>
        <w:rPr>
          <w:sz w:val="20"/>
          <w:szCs w:val="20"/>
          <w:color w:val="auto"/>
        </w:rPr>
        <w:tab/>
      </w:r>
      <w:r>
        <w:rPr>
          <w:rFonts w:ascii="Georgia" w:cs="Georgia" w:eastAsia="Georgia" w:hAnsi="Georgia"/>
          <w:sz w:val="17"/>
          <w:szCs w:val="17"/>
          <w:b w:val="1"/>
          <w:bCs w:val="1"/>
          <w:color w:val="auto"/>
        </w:rPr>
        <w:t>NAME OF ISSUER: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SHYFT GROUP, INC.</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1(b).</w:t>
      </w:r>
      <w:r>
        <w:rPr>
          <w:sz w:val="20"/>
          <w:szCs w:val="20"/>
          <w:color w:val="auto"/>
        </w:rPr>
        <w:tab/>
      </w:r>
      <w:r>
        <w:rPr>
          <w:rFonts w:ascii="Georgia" w:cs="Georgia" w:eastAsia="Georgia" w:hAnsi="Georgia"/>
          <w:sz w:val="17"/>
          <w:szCs w:val="17"/>
          <w:b w:val="1"/>
          <w:bCs w:val="1"/>
          <w:color w:val="auto"/>
        </w:rPr>
        <w:t>ADDRESS OF ISSUER'S PRINCIPAL EXECUTIVE OFFICES: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41280 BRIDGE STREET</w:t>
      </w:r>
    </w:p>
    <w:p>
      <w:pPr>
        <w:ind w:left="1160"/>
        <w:spacing w:after="0" w:line="237" w:lineRule="auto"/>
        <w:rPr>
          <w:sz w:val="20"/>
          <w:szCs w:val="20"/>
          <w:color w:val="auto"/>
        </w:rPr>
      </w:pPr>
      <w:r>
        <w:rPr>
          <w:rFonts w:ascii="Georgia" w:cs="Georgia" w:eastAsia="Georgia" w:hAnsi="Georgia"/>
          <w:sz w:val="18"/>
          <w:szCs w:val="18"/>
          <w:color w:val="auto"/>
        </w:rPr>
        <w:t>NOVI MI 48375</w:t>
      </w:r>
    </w:p>
    <w:p>
      <w:pPr>
        <w:ind w:left="1160"/>
        <w:spacing w:after="0"/>
        <w:rPr>
          <w:sz w:val="20"/>
          <w:szCs w:val="20"/>
          <w:color w:val="auto"/>
        </w:rPr>
      </w:pPr>
      <w:r>
        <w:rPr>
          <w:rFonts w:ascii="Georgia" w:cs="Georgia" w:eastAsia="Georgia" w:hAnsi="Georgia"/>
          <w:sz w:val="18"/>
          <w:szCs w:val="18"/>
          <w:color w:val="auto"/>
        </w:rPr>
        <w:t>UNITED STATES</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2(a).  NAME OF PERSON FILING:</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abrdn plc</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2(b).  ADDRESS OF PRINCIPAL BUSINESS OFFICE OR, IF NONE, RESIDENCE:</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1 George Street, Edinburgh, United Kingdom, EH2 2LL</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2(c).  CITIZENSHIP:</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United Kingdom</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2(d).  TITLE OF CLASS OF SECURITIES: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Common Stock</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2(e).  CUSIP NUMBER: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825698103</w:t>
      </w:r>
    </w:p>
    <w:p>
      <w:pPr>
        <w:spacing w:after="0" w:line="229" w:lineRule="exact"/>
        <w:rPr>
          <w:sz w:val="20"/>
          <w:szCs w:val="20"/>
          <w:color w:val="auto"/>
        </w:rPr>
      </w:pPr>
    </w:p>
    <w:p>
      <w:pPr>
        <w:ind w:left="1160" w:right="360" w:hanging="1160"/>
        <w:spacing w:after="0" w:line="237" w:lineRule="auto"/>
        <w:tabs>
          <w:tab w:leader="none" w:pos="1140" w:val="left"/>
        </w:tabs>
        <w:rPr>
          <w:sz w:val="20"/>
          <w:szCs w:val="20"/>
          <w:color w:val="auto"/>
        </w:rPr>
      </w:pPr>
      <w:r>
        <w:rPr>
          <w:rFonts w:ascii="Georgia" w:cs="Georgia" w:eastAsia="Georgia" w:hAnsi="Georgia"/>
          <w:sz w:val="18"/>
          <w:szCs w:val="18"/>
          <w:b w:val="1"/>
          <w:bCs w:val="1"/>
          <w:color w:val="auto"/>
        </w:rPr>
        <w:t>ITEM 3.</w:t>
      </w:r>
      <w:r>
        <w:rPr>
          <w:sz w:val="20"/>
          <w:szCs w:val="20"/>
          <w:color w:val="auto"/>
        </w:rPr>
        <w:tab/>
      </w:r>
      <w:r>
        <w:rPr>
          <w:rFonts w:ascii="Georgia" w:cs="Georgia" w:eastAsia="Georgia" w:hAnsi="Georgia"/>
          <w:sz w:val="18"/>
          <w:szCs w:val="18"/>
          <w:b w:val="1"/>
          <w:bCs w:val="1"/>
          <w:color w:val="auto"/>
        </w:rPr>
        <w:t>IF THIS STATEMENT IS FILED PURSUANT TO SECTION 240.13d-1(b), or 13d-2(b) or (c) CHECK WHETHER THE PERSON FILING IS A:</w:t>
      </w:r>
    </w:p>
    <w:p>
      <w:pPr>
        <w:spacing w:after="0" w:line="135" w:lineRule="exact"/>
        <w:rPr>
          <w:sz w:val="20"/>
          <w:szCs w:val="20"/>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]Broker or dealer registered under Section 15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Bank as defined in Section 3(a)(6)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Insurance company as defined in Section 3(a)(19) of the Act (15 U.S.C. 78c);</w:t>
      </w:r>
    </w:p>
    <w:p>
      <w:pPr>
        <w:spacing w:after="0" w:line="134" w:lineRule="exact"/>
        <w:rPr>
          <w:rFonts w:ascii="Georgia" w:cs="Georgia" w:eastAsia="Georgia" w:hAnsi="Georgia"/>
          <w:sz w:val="18"/>
          <w:szCs w:val="18"/>
          <w:color w:val="auto"/>
        </w:rPr>
      </w:pPr>
    </w:p>
    <w:p>
      <w:pPr>
        <w:ind w:left="2320" w:right="340" w:hanging="1162"/>
        <w:spacing w:after="0" w:line="237" w:lineRule="auto"/>
        <w:tabs>
          <w:tab w:leader="none" w:pos="1607"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]Investment company registered under Section 8 of the Investment Company Act of 1940 (15 U.S.C 80a-8);</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An investment adviser in accordance with 240.13d-1(b)(1)(ii)(E);</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An employee benefit plan or endowment fund in accordance with 240.13d-1(b)(1)(ii)(F);</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]A parent holding company or control person in accordance with 240.13d-1(b)(1)(ii)(G);</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savings associations as defined in Section 3(b) of the Federal Deposit Insurance Act (12 U.S.C. 1813);</w:t>
      </w:r>
    </w:p>
    <w:p>
      <w:pPr>
        <w:spacing w:after="0" w:line="134" w:lineRule="exact"/>
        <w:rPr>
          <w:rFonts w:ascii="Georgia" w:cs="Georgia" w:eastAsia="Georgia" w:hAnsi="Georgia"/>
          <w:sz w:val="18"/>
          <w:szCs w:val="18"/>
          <w:color w:val="auto"/>
        </w:rPr>
      </w:pPr>
    </w:p>
    <w:p>
      <w:pPr>
        <w:ind w:left="2320" w:right="20" w:hanging="1162"/>
        <w:spacing w:after="0" w:line="237" w:lineRule="auto"/>
        <w:tabs>
          <w:tab w:leader="none" w:pos="1607"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]A church plan that is excluded from the definition of an investment company under Section 3(c)(14) of the Investment Company Act of 1940 (15 U.S.C. 80a-3);</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non-U.S. institution in accordance with 240.13d-1(b)(1)(ii)(J);</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[X]</w:t>
      </w:r>
      <w:r>
        <w:rPr>
          <w:rFonts w:ascii="Georgia" w:cs="Georgia" w:eastAsia="Georgia" w:hAnsi="Georgia"/>
          <w:sz w:val="17"/>
          <w:szCs w:val="17"/>
          <w:color w:val="auto"/>
        </w:rPr>
        <w:t>Group, in accordance with 240.13d-1(b)(1)(ii)(K). If filing as a non-U.S. institution in accordance with</w:t>
      </w:r>
    </w:p>
    <w:p>
      <w:pPr>
        <w:ind w:left="232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240.13d1(b)(1)(ii)(J), please specify the type of institution:</w:t>
      </w:r>
    </w:p>
    <w:p>
      <w:pPr>
        <w:spacing w:after="0" w:line="200" w:lineRule="exact"/>
        <w:rPr>
          <w:sz w:val="20"/>
          <w:szCs w:val="20"/>
          <w:color w:val="auto"/>
        </w:rPr>
      </w:pPr>
    </w:p>
    <w:p>
      <w:pPr>
        <w:spacing w:after="0" w:line="244"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4.</w:t>
      </w:r>
      <w:r>
        <w:rPr>
          <w:sz w:val="20"/>
          <w:szCs w:val="20"/>
          <w:color w:val="auto"/>
        </w:rPr>
        <w:tab/>
      </w:r>
      <w:r>
        <w:rPr>
          <w:rFonts w:ascii="Georgia" w:cs="Georgia" w:eastAsia="Georgia" w:hAnsi="Georgia"/>
          <w:sz w:val="17"/>
          <w:szCs w:val="17"/>
          <w:b w:val="1"/>
          <w:bCs w:val="1"/>
          <w:color w:val="auto"/>
        </w:rPr>
        <w:t>OWNERSHIP</w:t>
      </w:r>
    </w:p>
    <w:p>
      <w:pPr>
        <w:spacing w:after="0" w:line="268"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(a) Amount beneficially owned:</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0</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(b) Percent of class:</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0</w:t>
      </w:r>
    </w:p>
    <w:p>
      <w:pPr>
        <w:spacing w:after="0" w:line="133" w:lineRule="exact"/>
        <w:rPr>
          <w:sz w:val="20"/>
          <w:szCs w:val="20"/>
          <w:color w:val="auto"/>
        </w:rPr>
      </w:pPr>
    </w:p>
    <w:p>
      <w:pPr>
        <w:ind w:left="1460" w:hanging="302"/>
        <w:spacing w:after="0"/>
        <w:tabs>
          <w:tab w:leader="none" w:pos="1460" w:val="left"/>
        </w:tabs>
        <w:numPr>
          <w:ilvl w:val="0"/>
          <w:numId w:val="11"/>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Number of shares as to which the person has:</w:t>
      </w:r>
    </w:p>
    <w:p>
      <w:pPr>
        <w:spacing w:after="0" w:line="132" w:lineRule="exact"/>
        <w:rPr>
          <w:rFonts w:ascii="Georgia" w:cs="Georgia" w:eastAsia="Georgia" w:hAnsi="Georgia"/>
          <w:sz w:val="18"/>
          <w:szCs w:val="18"/>
          <w:b w:val="1"/>
          <w:bCs w:val="1"/>
          <w:color w:val="auto"/>
        </w:rPr>
      </w:pPr>
    </w:p>
    <w:p>
      <w:pPr>
        <w:ind w:left="1460"/>
        <w:spacing w:after="0"/>
        <w:rPr>
          <w:rFonts w:ascii="Georgia" w:cs="Georgia" w:eastAsia="Georgia" w:hAnsi="Georgia"/>
          <w:sz w:val="18"/>
          <w:szCs w:val="18"/>
          <w:b w:val="1"/>
          <w:bCs w:val="1"/>
          <w:color w:val="auto"/>
        </w:rPr>
      </w:pPr>
      <w:r>
        <w:rPr>
          <w:rFonts w:ascii="Georgia" w:cs="Georgia" w:eastAsia="Georgia" w:hAnsi="Georgia"/>
          <w:sz w:val="18"/>
          <w:szCs w:val="18"/>
          <w:color w:val="auto"/>
        </w:rPr>
        <w:t>(i) sole power to vote or to direct the vote:</w:t>
      </w:r>
    </w:p>
    <w:p>
      <w:pPr>
        <w:spacing w:after="0" w:line="133"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abrdn plc :</w:t>
      </w:r>
    </w:p>
    <w:p>
      <w:pPr>
        <w:spacing w:after="0" w:line="134" w:lineRule="exact"/>
        <w:rPr>
          <w:sz w:val="20"/>
          <w:szCs w:val="20"/>
          <w:color w:val="auto"/>
        </w:rPr>
      </w:pPr>
    </w:p>
    <w:p>
      <w:pPr>
        <w:ind w:left="1460" w:right="5380" w:firstLine="8"/>
        <w:spacing w:after="0" w:line="394" w:lineRule="auto"/>
        <w:tabs>
          <w:tab w:leader="none" w:pos="1744" w:val="left"/>
        </w:tabs>
        <w:numPr>
          <w:ilvl w:val="0"/>
          <w:numId w:val="12"/>
        </w:numPr>
        <w:rPr>
          <w:rFonts w:ascii="Georgia" w:cs="Georgia" w:eastAsia="Georgia" w:hAnsi="Georgia"/>
          <w:sz w:val="18"/>
          <w:szCs w:val="18"/>
          <w:color w:val="auto"/>
        </w:rPr>
      </w:pPr>
      <w:r>
        <w:rPr>
          <w:rFonts w:ascii="Georgia" w:cs="Georgia" w:eastAsia="Georgia" w:hAnsi="Georgia"/>
          <w:sz w:val="18"/>
          <w:szCs w:val="18"/>
          <w:color w:val="auto"/>
        </w:rPr>
        <w:t>shared power to vote or to direct the vote: abrdn plc : 0</w:t>
      </w:r>
    </w:p>
    <w:p>
      <w:pPr>
        <w:spacing w:after="0" w:line="3" w:lineRule="exact"/>
        <w:rPr>
          <w:rFonts w:ascii="Georgia" w:cs="Georgia" w:eastAsia="Georgia" w:hAnsi="Georgia"/>
          <w:sz w:val="18"/>
          <w:szCs w:val="18"/>
          <w:color w:val="auto"/>
        </w:rPr>
      </w:pPr>
    </w:p>
    <w:p>
      <w:pPr>
        <w:ind w:left="1460" w:right="4740" w:firstLine="8"/>
        <w:spacing w:after="0" w:line="394" w:lineRule="auto"/>
        <w:tabs>
          <w:tab w:leader="none" w:pos="1797" w:val="left"/>
        </w:tabs>
        <w:numPr>
          <w:ilvl w:val="0"/>
          <w:numId w:val="12"/>
        </w:numPr>
        <w:rPr>
          <w:rFonts w:ascii="Georgia" w:cs="Georgia" w:eastAsia="Georgia" w:hAnsi="Georgia"/>
          <w:sz w:val="18"/>
          <w:szCs w:val="18"/>
          <w:color w:val="auto"/>
        </w:rPr>
      </w:pPr>
      <w:r>
        <w:rPr>
          <w:rFonts w:ascii="Georgia" w:cs="Georgia" w:eastAsia="Georgia" w:hAnsi="Georgia"/>
          <w:sz w:val="18"/>
          <w:szCs w:val="18"/>
          <w:color w:val="auto"/>
        </w:rPr>
        <w:t>sole power to dispose or direct the disposition of: abrdn plc :</w:t>
      </w:r>
    </w:p>
    <w:p>
      <w:pPr>
        <w:sectPr>
          <w:pgSz w:w="11900" w:h="16838" w:orient="portrait"/>
          <w:cols w:equalWidth="0" w:num="1">
            <w:col w:w="10440"/>
          </w:cols>
          <w:pgMar w:left="400" w:top="958" w:right="1059" w:bottom="0" w:gutter="0" w:footer="0" w:header="0"/>
        </w:sectPr>
      </w:pPr>
    </w:p>
    <w:bookmarkStart w:id="3" w:name="page4"/>
    <w:bookmarkEnd w:id="3"/>
    <w:p>
      <w:pPr>
        <w:ind w:left="1460"/>
        <w:spacing w:after="0"/>
        <w:rPr>
          <w:sz w:val="20"/>
          <w:szCs w:val="20"/>
          <w:color w:val="auto"/>
        </w:rPr>
      </w:pPr>
      <w:r>
        <w:rPr>
          <w:rFonts w:ascii="Georgia" w:cs="Georgia" w:eastAsia="Georgia" w:hAnsi="Georgia"/>
          <w:sz w:val="18"/>
          <w:szCs w:val="18"/>
          <w:color w:val="auto"/>
        </w:rPr>
        <w:t>(iv) shared power to dispose or to direct the disposition of:</w:t>
      </w:r>
    </w:p>
    <w:p>
      <w:pPr>
        <w:spacing w:after="0" w:line="133"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abrdn plc : 0</w:t>
      </w:r>
    </w:p>
    <w:p>
      <w:pPr>
        <w:spacing w:after="0" w:line="133"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5.</w:t>
      </w:r>
      <w:r>
        <w:rPr>
          <w:sz w:val="20"/>
          <w:szCs w:val="20"/>
          <w:color w:val="auto"/>
        </w:rPr>
        <w:tab/>
      </w:r>
      <w:r>
        <w:rPr>
          <w:rFonts w:ascii="Georgia" w:cs="Georgia" w:eastAsia="Georgia" w:hAnsi="Georgia"/>
          <w:sz w:val="17"/>
          <w:szCs w:val="17"/>
          <w:b w:val="1"/>
          <w:bCs w:val="1"/>
          <w:color w:val="auto"/>
        </w:rPr>
        <w:t>OWNERSHIP OF FIVE PERCENT OR LESS OF A CLASS:</w:t>
      </w:r>
    </w:p>
    <w:p>
      <w:pPr>
        <w:spacing w:after="0" w:line="94" w:lineRule="exact"/>
        <w:rPr>
          <w:sz w:val="20"/>
          <w:szCs w:val="20"/>
          <w:color w:val="auto"/>
        </w:rPr>
      </w:pPr>
    </w:p>
    <w:p>
      <w:pPr>
        <w:ind w:left="1160" w:right="140"/>
        <w:spacing w:after="0" w:line="237" w:lineRule="auto"/>
        <w:rPr>
          <w:sz w:val="20"/>
          <w:szCs w:val="20"/>
          <w:color w:val="auto"/>
        </w:rPr>
      </w:pPr>
      <w:r>
        <w:rPr>
          <w:rFonts w:ascii="Georgia" w:cs="Georgia" w:eastAsia="Georgia" w:hAnsi="Georgia"/>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29"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6.</w:t>
      </w:r>
      <w:r>
        <w:rPr>
          <w:sz w:val="20"/>
          <w:szCs w:val="20"/>
          <w:color w:val="auto"/>
        </w:rPr>
        <w:tab/>
      </w:r>
      <w:r>
        <w:rPr>
          <w:rFonts w:ascii="Georgia" w:cs="Georgia" w:eastAsia="Georgia" w:hAnsi="Georgia"/>
          <w:sz w:val="17"/>
          <w:szCs w:val="17"/>
          <w:b w:val="1"/>
          <w:bCs w:val="1"/>
          <w:color w:val="auto"/>
        </w:rPr>
        <w:t>OWNERSHIP OF MORE THAN FIVE PERCENT ON BEHALF OF ANOTHER PERSON:</w:t>
      </w:r>
    </w:p>
    <w:p>
      <w:pPr>
        <w:spacing w:after="0" w:line="321"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7.</w:t>
      </w:r>
      <w:r>
        <w:rPr>
          <w:sz w:val="20"/>
          <w:szCs w:val="20"/>
          <w:color w:val="auto"/>
        </w:rPr>
        <w:tab/>
      </w:r>
      <w:r>
        <w:rPr>
          <w:rFonts w:ascii="Georgia" w:cs="Georgia" w:eastAsia="Georgia" w:hAnsi="Georgia"/>
          <w:sz w:val="17"/>
          <w:szCs w:val="17"/>
          <w:b w:val="1"/>
          <w:bCs w:val="1"/>
          <w:color w:val="auto"/>
        </w:rPr>
        <w:t>IDENTIFICATION AND CLASSIFICATION OF THE SUBSIDIARY WHICH ACQUIRED THE</w:t>
      </w:r>
    </w:p>
    <w:p>
      <w:pPr>
        <w:ind w:left="1160"/>
        <w:spacing w:after="0" w:line="238" w:lineRule="auto"/>
        <w:rPr>
          <w:sz w:val="20"/>
          <w:szCs w:val="20"/>
          <w:color w:val="auto"/>
        </w:rPr>
      </w:pPr>
      <w:r>
        <w:rPr>
          <w:rFonts w:ascii="Georgia" w:cs="Georgia" w:eastAsia="Georgia" w:hAnsi="Georgia"/>
          <w:sz w:val="18"/>
          <w:szCs w:val="18"/>
          <w:b w:val="1"/>
          <w:bCs w:val="1"/>
          <w:color w:val="auto"/>
        </w:rPr>
        <w:t>SECURITY BEING REPORTED ON BY THE PARENT HOLDING COMPANY:</w:t>
      </w:r>
    </w:p>
    <w:p>
      <w:pPr>
        <w:spacing w:after="0" w:line="32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8.</w:t>
      </w:r>
      <w:r>
        <w:rPr>
          <w:sz w:val="20"/>
          <w:szCs w:val="20"/>
          <w:color w:val="auto"/>
        </w:rPr>
        <w:tab/>
      </w:r>
      <w:r>
        <w:rPr>
          <w:rFonts w:ascii="Georgia" w:cs="Georgia" w:eastAsia="Georgia" w:hAnsi="Georgia"/>
          <w:sz w:val="17"/>
          <w:szCs w:val="17"/>
          <w:b w:val="1"/>
          <w:bCs w:val="1"/>
          <w:color w:val="auto"/>
        </w:rPr>
        <w:t>IDENTIFICATION AND CLASSIFICATION OF MEMBERS OF THE GROUP:</w:t>
      </w:r>
    </w:p>
    <w:p>
      <w:pPr>
        <w:spacing w:after="0" w:line="32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9.</w:t>
      </w:r>
      <w:r>
        <w:rPr>
          <w:sz w:val="20"/>
          <w:szCs w:val="20"/>
          <w:color w:val="auto"/>
        </w:rPr>
        <w:tab/>
      </w:r>
      <w:r>
        <w:rPr>
          <w:rFonts w:ascii="Georgia" w:cs="Georgia" w:eastAsia="Georgia" w:hAnsi="Georgia"/>
          <w:sz w:val="17"/>
          <w:szCs w:val="17"/>
          <w:b w:val="1"/>
          <w:bCs w:val="1"/>
          <w:color w:val="auto"/>
        </w:rPr>
        <w:t>NOTICE OF DISSOLUTION OF GROUP:</w:t>
      </w:r>
    </w:p>
    <w:p>
      <w:pPr>
        <w:spacing w:after="0" w:line="32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10.</w:t>
        <w:tab/>
        <w:t>CERTIFICATION:</w:t>
      </w:r>
    </w:p>
    <w:p>
      <w:pPr>
        <w:spacing w:after="0" w:line="94" w:lineRule="exact"/>
        <w:rPr>
          <w:sz w:val="20"/>
          <w:szCs w:val="20"/>
          <w:color w:val="auto"/>
        </w:rPr>
      </w:pPr>
    </w:p>
    <w:p>
      <w:pPr>
        <w:ind w:left="1160"/>
        <w:spacing w:after="0" w:line="237" w:lineRule="auto"/>
        <w:rPr>
          <w:sz w:val="20"/>
          <w:szCs w:val="20"/>
          <w:color w:val="auto"/>
        </w:rPr>
      </w:pPr>
      <w:r>
        <w:rPr>
          <w:rFonts w:ascii="Georgia" w:cs="Georgia" w:eastAsia="Georgia" w:hAnsi="Georgia"/>
          <w:sz w:val="18"/>
          <w:szCs w:val="18"/>
          <w:color w:val="auto"/>
        </w:rPr>
        <w:t>By signing below I certify that, to the best of my knowledge and belief, the foreign regulatory scheme applicable to insert particular category of institutional investor is substantially comparable to the regulatory scheme applicable to the functionally equivalent U.S. institution(s). I also undertake to furnish to the Commission staff, upon request, information that would otherwise be disclosed in a Schedule 13D.</w:t>
      </w:r>
    </w:p>
    <w:p>
      <w:pPr>
        <w:sectPr>
          <w:pgSz w:w="11900" w:h="16838" w:orient="portrait"/>
          <w:cols w:equalWidth="0" w:num="1">
            <w:col w:w="10340"/>
          </w:cols>
          <w:pgMar w:left="400" w:top="135" w:right="1159" w:bottom="1440" w:gutter="0" w:footer="0" w:header="0"/>
        </w:sectPr>
      </w:pPr>
    </w:p>
    <w:bookmarkStart w:id="4" w:name="page5"/>
    <w:bookmarkEnd w:id="4"/>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825698103</w:t>
      </w:r>
    </w:p>
    <w:p>
      <w:pPr>
        <w:spacing w:after="0" w:line="200" w:lineRule="exact"/>
        <w:rPr>
          <w:sz w:val="20"/>
          <w:szCs w:val="20"/>
          <w:color w:val="auto"/>
        </w:rPr>
      </w:pPr>
    </w:p>
    <w:p>
      <w:pPr>
        <w:spacing w:after="0" w:line="220" w:lineRule="exact"/>
        <w:rPr>
          <w:sz w:val="20"/>
          <w:szCs w:val="20"/>
          <w:color w:val="auto"/>
        </w:rPr>
      </w:pPr>
    </w:p>
    <w:p>
      <w:pPr>
        <w:jc w:val="center"/>
        <w:ind w:right="-459"/>
        <w:spacing w:after="0"/>
        <w:rPr>
          <w:sz w:val="20"/>
          <w:szCs w:val="20"/>
          <w:color w:val="auto"/>
        </w:rPr>
      </w:pPr>
      <w:r>
        <w:rPr>
          <w:rFonts w:ascii="Georgia" w:cs="Georgia" w:eastAsia="Georgia" w:hAnsi="Georgia"/>
          <w:sz w:val="22"/>
          <w:szCs w:val="22"/>
          <w:b w:val="1"/>
          <w:bCs w:val="1"/>
          <w:color w:val="auto"/>
        </w:rPr>
        <w:t>SIGNATURE</w:t>
      </w:r>
    </w:p>
    <w:p>
      <w:pPr>
        <w:spacing w:after="0" w:line="376" w:lineRule="exact"/>
        <w:rPr>
          <w:sz w:val="20"/>
          <w:szCs w:val="20"/>
          <w:color w:val="auto"/>
        </w:rPr>
      </w:pPr>
    </w:p>
    <w:p>
      <w:pPr>
        <w:ind w:left="460"/>
        <w:spacing w:after="0"/>
        <w:rPr>
          <w:sz w:val="20"/>
          <w:szCs w:val="20"/>
          <w:color w:val="auto"/>
        </w:rPr>
      </w:pPr>
      <w:r>
        <w:rPr>
          <w:rFonts w:ascii="Georgia" w:cs="Georgia" w:eastAsia="Georgia" w:hAnsi="Georgia"/>
          <w:sz w:val="14"/>
          <w:szCs w:val="14"/>
          <w:color w:val="auto"/>
        </w:rPr>
        <w:t>After reasonable inquiry and to the best of my knowledge and belief, I certify that the information set forth in this statement is true, complete and correct.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240" w:type="dxa"/>
            <w:vAlign w:val="bottom"/>
          </w:tcPr>
          <w:p>
            <w:pPr>
              <w:spacing w:after="0"/>
              <w:rPr>
                <w:sz w:val="20"/>
                <w:szCs w:val="20"/>
                <w:color w:val="auto"/>
              </w:rPr>
            </w:pPr>
            <w:r>
              <w:rPr>
                <w:rFonts w:ascii="Georgia" w:cs="Georgia" w:eastAsia="Georgia" w:hAnsi="Georgia"/>
                <w:sz w:val="16"/>
                <w:szCs w:val="16"/>
                <w:color w:val="auto"/>
              </w:rPr>
              <w:t>February 02 2024</w:t>
            </w:r>
          </w:p>
        </w:tc>
        <w:tc>
          <w:tcPr>
            <w:tcW w:w="6100" w:type="dxa"/>
            <w:vAlign w:val="bottom"/>
            <w:gridSpan w:val="2"/>
          </w:tcPr>
          <w:p>
            <w:pPr>
              <w:ind w:left="960"/>
              <w:spacing w:after="0"/>
              <w:rPr>
                <w:sz w:val="20"/>
                <w:szCs w:val="20"/>
                <w:color w:val="auto"/>
              </w:rPr>
            </w:pPr>
            <w:r>
              <w:rPr>
                <w:rFonts w:ascii="Georgia" w:cs="Georgia" w:eastAsia="Georgia" w:hAnsi="Georgia"/>
                <w:sz w:val="16"/>
                <w:szCs w:val="16"/>
                <w:color w:val="auto"/>
              </w:rPr>
              <w:t>abrdn plc</w:t>
            </w:r>
          </w:p>
        </w:tc>
      </w:tr>
      <w:tr>
        <w:trPr>
          <w:trHeight w:val="283"/>
        </w:trPr>
        <w:tc>
          <w:tcPr>
            <w:tcW w:w="2240" w:type="dxa"/>
            <w:vAlign w:val="bottom"/>
          </w:tcPr>
          <w:p>
            <w:pPr>
              <w:spacing w:after="0"/>
              <w:rPr>
                <w:sz w:val="24"/>
                <w:szCs w:val="24"/>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By:</w:t>
            </w:r>
          </w:p>
        </w:tc>
        <w:tc>
          <w:tcPr>
            <w:tcW w:w="4480" w:type="dxa"/>
            <w:vAlign w:val="bottom"/>
            <w:tcBorders>
              <w:bottom w:val="single" w:sz="8" w:color="auto"/>
            </w:tcBorders>
          </w:tcPr>
          <w:p>
            <w:pPr>
              <w:spacing w:after="0"/>
              <w:rPr>
                <w:sz w:val="20"/>
                <w:szCs w:val="20"/>
                <w:color w:val="auto"/>
              </w:rPr>
            </w:pPr>
            <w:r>
              <w:rPr>
                <w:rFonts w:ascii="Georgia" w:cs="Georgia" w:eastAsia="Georgia" w:hAnsi="Georgia"/>
                <w:sz w:val="16"/>
                <w:szCs w:val="16"/>
                <w:color w:val="auto"/>
              </w:rPr>
              <w:t>/s/ Chris Cole</w:t>
            </w:r>
          </w:p>
        </w:tc>
      </w:tr>
      <w:tr>
        <w:trPr>
          <w:trHeight w:val="263"/>
        </w:trPr>
        <w:tc>
          <w:tcPr>
            <w:tcW w:w="2240" w:type="dxa"/>
            <w:vAlign w:val="bottom"/>
          </w:tcPr>
          <w:p>
            <w:pPr>
              <w:spacing w:after="0"/>
              <w:rPr>
                <w:sz w:val="22"/>
                <w:szCs w:val="22"/>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Name:</w:t>
            </w:r>
          </w:p>
        </w:tc>
        <w:tc>
          <w:tcPr>
            <w:tcW w:w="4480" w:type="dxa"/>
            <w:vAlign w:val="bottom"/>
          </w:tcPr>
          <w:p>
            <w:pPr>
              <w:spacing w:after="0"/>
              <w:rPr>
                <w:sz w:val="20"/>
                <w:szCs w:val="20"/>
                <w:color w:val="auto"/>
              </w:rPr>
            </w:pPr>
            <w:r>
              <w:rPr>
                <w:rFonts w:ascii="Georgia" w:cs="Georgia" w:eastAsia="Georgia" w:hAnsi="Georgia"/>
                <w:sz w:val="16"/>
                <w:szCs w:val="16"/>
                <w:color w:val="auto"/>
              </w:rPr>
              <w:t>Chris Cole</w:t>
            </w:r>
          </w:p>
        </w:tc>
      </w:tr>
      <w:tr>
        <w:trPr>
          <w:trHeight w:val="270"/>
        </w:trPr>
        <w:tc>
          <w:tcPr>
            <w:tcW w:w="2240" w:type="dxa"/>
            <w:vAlign w:val="bottom"/>
          </w:tcPr>
          <w:p>
            <w:pPr>
              <w:spacing w:after="0"/>
              <w:rPr>
                <w:sz w:val="23"/>
                <w:szCs w:val="23"/>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Title:</w:t>
            </w:r>
          </w:p>
        </w:tc>
        <w:tc>
          <w:tcPr>
            <w:tcW w:w="4480" w:type="dxa"/>
            <w:vAlign w:val="bottom"/>
          </w:tcPr>
          <w:p>
            <w:pPr>
              <w:spacing w:after="0"/>
              <w:rPr>
                <w:sz w:val="20"/>
                <w:szCs w:val="20"/>
                <w:color w:val="auto"/>
              </w:rPr>
            </w:pPr>
            <w:r>
              <w:rPr>
                <w:rFonts w:ascii="Georgia" w:cs="Georgia" w:eastAsia="Georgia" w:hAnsi="Georgia"/>
                <w:sz w:val="16"/>
                <w:szCs w:val="16"/>
                <w:color w:val="auto"/>
              </w:rPr>
              <w:t>Senior Major Shareholding Reporting Analyst</w:t>
            </w: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Georgia" w:cs="Georgia" w:eastAsia="Georgia" w:hAnsi="Georgia"/>
          <w:sz w:val="16"/>
          <w:szCs w:val="16"/>
          <w:color w:val="auto"/>
        </w:rPr>
        <w:t>Attention — Intentional misstatements or omissions of fact constitute Federal criminal violations (See 18 U.S.C. 1001).</w:t>
      </w:r>
    </w:p>
    <w:sectPr>
      <w:pgSz w:w="11900" w:h="16838" w:orient="portrait"/>
      <w:cols w:equalWidth="0" w:num="1">
        <w:col w:w="10180"/>
      </w:cols>
      <w:pgMar w:left="320" w:top="958"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2]"/>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lvl w:ilvl="1">
      <w:lvlJc w:val="left"/>
      <w:lvlText w:val="(%2)"/>
      <w:numFmt w:val="lowerLetter"/>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9"/>
      <w:numFmt w:val="bullet"/>
      <w:start w:val="1"/>
    </w:lvl>
  </w:abstractNum>
  <w:abstractNum w:abstractNumId="6">
    <w:nsid w:val="12200854"/>
    <w:multiLevelType w:val="hybridMultilevel"/>
    <w:lvl w:ilvl="0">
      <w:lvlJc w:val="left"/>
      <w:lvlText w:val="%1"/>
      <w:numFmt w:val="decimal"/>
      <w:start w:val="10"/>
    </w:lvl>
  </w:abstractNum>
  <w:abstractNum w:abstractNumId="7">
    <w:nsid w:val="4DB127F8"/>
    <w:multiLevelType w:val="hybridMultilevel"/>
    <w:lvl w:ilvl="0">
      <w:lvlJc w:val="left"/>
      <w:lvlText w:val="%1"/>
      <w:numFmt w:val="decimal"/>
      <w:start w:val="11"/>
    </w:lvl>
  </w:abstractNum>
  <w:abstractNum w:abstractNumId="8">
    <w:nsid w:val="216231B"/>
    <w:multiLevelType w:val="hybridMultilevel"/>
    <w:lvl w:ilvl="0">
      <w:lvlJc w:val="left"/>
      <w:lvlText w:val="%1"/>
      <w:numFmt w:val="decimal"/>
      <w:start w:val="12"/>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3"/>
    </w:lvl>
  </w:abstractNum>
  <w:abstractNum w:abstractNumId="11">
    <w:nsid w:val="66EF438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2024-02-02T14:21:32Z</dcterms:created>
  <dcterms:modified xsi:type="dcterms:W3CDTF">2024-02-02T14:21:32Z</dcterms:modified>
</cp:coreProperties>
</file>