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4,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7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338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001-33582</w:t>
            </w:r>
          </w:p>
        </w:tc>
        <w:tc>
          <w:tcPr>
            <w:tcW w:w="2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38-2078923</w:t>
            </w:r>
          </w:p>
        </w:tc>
      </w:tr>
      <w:tr>
        <w:trPr>
          <w:trHeight w:val="216"/>
        </w:trPr>
        <w:tc>
          <w:tcPr>
            <w:tcW w:w="37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(Commission File No.)</w:t>
            </w:r>
          </w:p>
        </w:tc>
        <w:tc>
          <w:tcPr>
            <w:tcW w:w="24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380" w:type="dxa"/>
            <w:vAlign w:val="bottom"/>
          </w:tcPr>
          <w:p>
            <w:pPr>
              <w:spacing w:after="0"/>
              <w:rPr>
                <w:sz w:val="20"/>
                <w:szCs w:val="20"/>
                <w:color w:val="auto"/>
              </w:rPr>
            </w:pPr>
          </w:p>
        </w:tc>
        <w:tc>
          <w:tcPr>
            <w:tcW w:w="24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626"/>
        </w:trPr>
        <w:tc>
          <w:tcPr>
            <w:tcW w:w="37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41280 Bridge Street, Novi, Michigan</w:t>
            </w:r>
          </w:p>
        </w:tc>
        <w:tc>
          <w:tcPr>
            <w:tcW w:w="3380" w:type="dxa"/>
            <w:vAlign w:val="bottom"/>
          </w:tcPr>
          <w:p>
            <w:pPr>
              <w:spacing w:after="0"/>
              <w:rPr>
                <w:sz w:val="24"/>
                <w:szCs w:val="24"/>
                <w:color w:val="auto"/>
              </w:rPr>
            </w:pPr>
          </w:p>
        </w:tc>
        <w:tc>
          <w:tcPr>
            <w:tcW w:w="2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48375</w:t>
            </w:r>
          </w:p>
        </w:tc>
      </w:tr>
      <w:tr>
        <w:trPr>
          <w:trHeight w:val="238"/>
        </w:trPr>
        <w:tc>
          <w:tcPr>
            <w:tcW w:w="37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80" w:type="dxa"/>
            <w:vAlign w:val="bottom"/>
          </w:tcPr>
          <w:p>
            <w:pPr>
              <w:spacing w:after="0"/>
              <w:rPr>
                <w:sz w:val="20"/>
                <w:szCs w:val="20"/>
                <w:color w:val="auto"/>
              </w:rPr>
            </w:pPr>
          </w:p>
        </w:tc>
        <w:tc>
          <w:tcPr>
            <w:tcW w:w="24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(517) 543-6400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410"/>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22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3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2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SHYF</w:t>
            </w:r>
          </w:p>
        </w:tc>
        <w:tc>
          <w:tcPr>
            <w:tcW w:w="22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being furnished and shall not be deemed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is not to be incorporated by reference into any filing by The Shyft Group, Inc.,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Shyft</w:t>
      </w:r>
      <w:r>
        <w:rPr>
          <w:rFonts w:ascii="Times New Roman" w:cs="Times New Roman" w:eastAsia="Times New Roman" w:hAnsi="Times New Roman"/>
          <w:sz w:val="18"/>
          <w:szCs w:val="18"/>
          <w:color w:val="auto"/>
        </w:rPr>
        <w:t>”), under the Securities Act of 1933, as amended, or the Exchange Act, regardless of any general incorporation language contained in such filing, unless otherwise expressly stated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4, 2025, the Company issued a press release regarding the filing of a registration statement on Form S-4 by Aebi Schmidt Holding AG (“</w:t>
      </w:r>
      <w:r>
        <w:rPr>
          <w:rFonts w:ascii="Times New Roman" w:cs="Times New Roman" w:eastAsia="Times New Roman" w:hAnsi="Times New Roman"/>
          <w:sz w:val="18"/>
          <w:szCs w:val="18"/>
          <w:u w:val="single" w:color="auto"/>
          <w:color w:val="auto"/>
        </w:rPr>
        <w:t>Aebi Schmidt</w:t>
      </w:r>
      <w:r>
        <w:rPr>
          <w:rFonts w:ascii="Times New Roman" w:cs="Times New Roman" w:eastAsia="Times New Roman" w:hAnsi="Times New Roman"/>
          <w:sz w:val="18"/>
          <w:szCs w:val="18"/>
          <w:color w:val="auto"/>
        </w:rPr>
        <w:t>”) in connection with the Company’s proposed merger with an indirect, wholly owned subsidiary of Aebi Schmidt. The press release is attached hereto as Exhibit 99.1 and will also be available on the Company’s investor relations website, https://theshyftgroup.com/investor-relations, under the “Press Releases” tab and the “Resources” page of the Company’s investor relations website dedicated for the proposed merger, aspecialtyvehiclesleader.com, under the “Press Releases” heading.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pursuant to an exemption from, or in a transaction not subject to, such registration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be deemed participants in the solicitation of proxies in connection with the proposed transaction, including a description of their direct or indirect interests in the transaction, by security holdings or otherwise, are set forth in the combined proxy statement/prospectus and other relevant materials filed with the SEC. Information regarding the directors and executive officers of Shyft is contained in the sections entitled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 included in Shyft’s proxy statement for the 2025 annual meeting of</w:t>
      </w:r>
    </w:p>
    <w:p>
      <w:pPr>
        <w:spacing w:after="0" w:line="5"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stockholders, which was filed with the SEC on March 31, 2025 (and which is available at </w:t>
      </w:r>
      <w:hyperlink r:id="rId9">
        <w:r>
          <w:rPr>
            <w:rFonts w:ascii="Times New Roman" w:cs="Times New Roman" w:eastAsia="Times New Roman" w:hAnsi="Times New Roman"/>
            <w:sz w:val="18"/>
            <w:szCs w:val="18"/>
            <w:u w:val="single" w:color="auto"/>
            <w:color w:val="auto"/>
          </w:rPr>
          <w:t>https://www.sec.gov/Archives/edgar/data/743238/000114036125011166/ny20039255x1_def14a.htm</w:t>
        </w:r>
      </w:hyperlink>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Directors,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Corporate Governance</w:t>
      </w:r>
      <w:r>
        <w:rPr>
          <w:rFonts w:ascii="Times New Roman" w:cs="Times New Roman" w:eastAsia="Times New Roman" w:hAnsi="Times New Roman"/>
          <w:sz w:val="18"/>
          <w:szCs w:val="18"/>
          <w:color w:val="auto"/>
        </w:rPr>
        <w:t>” included in Shyft’s Annual Report on Form 10-K for the year ended December 31, 2024, which was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 on February 20, 2025 (and which is available at </w:t>
      </w:r>
      <w:hyperlink r:id="rId10">
        <w:r>
          <w:rPr>
            <w:rFonts w:ascii="Times New Roman" w:cs="Times New Roman" w:eastAsia="Times New Roman" w:hAnsi="Times New Roman"/>
            <w:sz w:val="18"/>
            <w:szCs w:val="18"/>
            <w:u w:val="single" w:color="auto"/>
            <w:color w:val="auto"/>
          </w:rPr>
          <w:t>https://www.sec.gov/Archives/edgar/data/743238/000143774925004501/shyf20241231c_10k.htm</w:t>
        </w:r>
      </w:hyperlink>
      <w:r>
        <w:rPr>
          <w:rFonts w:ascii="Times New Roman" w:cs="Times New Roman" w:eastAsia="Times New Roman" w:hAnsi="Times New Roman"/>
          <w:sz w:val="18"/>
          <w:szCs w:val="18"/>
          <w:color w:val="auto"/>
        </w:rPr>
        <w:t>), and certain of its Current Reports filed on Form 8-K. These documents can be obtained free of charge from the sources indicated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Aebi Schmidt filed a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free of charge on the SEC’s web site at www.sec.gov. Copies of documents filed with the SEC by Shyft will be made available free of charge on Shyft’s investor relations website at https://theshyftgroup.com/investor-relations/.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communication to conform its prior statements to actual results, revised expectations or to reflect the occurrence of anticipated or unanticipated events.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 information concerning these and other factors that may impact Shyft’s and Aebi Schmidt’s expectations and projections can be found in Shyft’s periodic filings with the SEC, including Shyft’s Annual Report on Form 10-K for the fiscal year ended December 31, 2024, and any subsequent Quarterly Reports on Form 10-Q and Current Reports on Form 8-K. Shyft’s SEC filings are available publicly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being filed herewith: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0000EE"/>
              </w:rPr>
              <w:t>Press Release, dated as of April 4, 2025, issued by The Shyft Group, Inc.</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43"/>
        </w:trPr>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THE SHYFT GROUP, INC.</w:t>
            </w: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4, 2025</w:t>
            </w: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   /s/ Joshua A. Sherbin</w:t>
            </w:r>
          </w:p>
        </w:tc>
      </w:tr>
      <w:tr>
        <w:trPr>
          <w:trHeight w:val="218"/>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Joshua A. Sherbin</w:t>
            </w:r>
          </w:p>
        </w:tc>
      </w:tr>
      <w:tr>
        <w:trPr>
          <w:trHeight w:val="234"/>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Administrative and Compliance Officer</w:t>
            </w:r>
          </w:p>
        </w:tc>
      </w:tr>
      <w:tr>
        <w:trPr>
          <w:trHeight w:val="985"/>
        </w:trPr>
        <w:tc>
          <w:tcPr>
            <w:tcW w:w="4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59"/>
          <w:szCs w:val="59"/>
          <w:color w:val="373737"/>
        </w:rPr>
        <w:t>The Shyft Group announces filing of registration statement on Form S-4 by the Aebi Schmidt Group in connection with their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3463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32320" cy="3463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460" w:right="280" w:hanging="331"/>
        <w:spacing w:after="0" w:line="270" w:lineRule="auto"/>
        <w:tabs>
          <w:tab w:leader="none" w:pos="460" w:val="left"/>
        </w:tabs>
        <w:numPr>
          <w:ilvl w:val="0"/>
          <w:numId w:val="3"/>
        </w:numPr>
        <w:rPr>
          <w:rFonts w:ascii="Times New Roman" w:cs="Times New Roman" w:eastAsia="Times New Roman" w:hAnsi="Times New Roman"/>
          <w:sz w:val="18"/>
          <w:szCs w:val="18"/>
          <w:color w:val="373737"/>
        </w:rPr>
      </w:pPr>
      <w:r>
        <w:rPr>
          <w:rFonts w:ascii="Arial" w:cs="Arial" w:eastAsia="Arial" w:hAnsi="Arial"/>
          <w:sz w:val="18"/>
          <w:szCs w:val="18"/>
          <w:color w:val="373737"/>
        </w:rPr>
        <w:t>The registration statement includes combined company pro forma U.S. GAAP revenues of $1.9 billion and adjusted EBITDA of $148 million in 2024</w:t>
      </w:r>
    </w:p>
    <w:p>
      <w:pPr>
        <w:spacing w:after="0" w:line="140" w:lineRule="exact"/>
        <w:rPr>
          <w:rFonts w:ascii="Times New Roman" w:cs="Times New Roman" w:eastAsia="Times New Roman" w:hAnsi="Times New Roman"/>
          <w:sz w:val="18"/>
          <w:szCs w:val="18"/>
          <w:color w:val="373737"/>
        </w:rPr>
      </w:pPr>
    </w:p>
    <w:p>
      <w:pPr>
        <w:ind w:left="460" w:right="660" w:hanging="331"/>
        <w:spacing w:after="0" w:line="270" w:lineRule="auto"/>
        <w:tabs>
          <w:tab w:leader="none" w:pos="460" w:val="left"/>
        </w:tabs>
        <w:numPr>
          <w:ilvl w:val="0"/>
          <w:numId w:val="3"/>
        </w:numPr>
        <w:rPr>
          <w:rFonts w:ascii="Times New Roman" w:cs="Times New Roman" w:eastAsia="Times New Roman" w:hAnsi="Times New Roman"/>
          <w:sz w:val="18"/>
          <w:szCs w:val="18"/>
          <w:color w:val="373737"/>
        </w:rPr>
      </w:pPr>
      <w:r>
        <w:rPr>
          <w:rFonts w:ascii="Arial" w:cs="Arial" w:eastAsia="Arial" w:hAnsi="Arial"/>
          <w:sz w:val="18"/>
          <w:szCs w:val="18"/>
          <w:color w:val="373737"/>
        </w:rPr>
        <w:t>Upon the closing of the proposed merger, the combined company will be named "Aebi Schmidt Group" and listed and traded on Nasdaq under the symbol "AEBI"</w:t>
      </w:r>
    </w:p>
    <w:p>
      <w:pPr>
        <w:spacing w:after="0" w:line="14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373737"/>
        </w:rPr>
        <w:t>NOVI, Mich., April 4, 2025 /PRNewswire/ -- The Shyft Group, Inc. (NASDAQ: SHYF) ("Shyft"), the North American leader in specialty vehicle manufacturing, assembly and upfit for the commercial, retail and service specialty vehicle markets announced that Aebi Schmidt Group ("Aebi Schmidt") has filed a registration statement on Form S-4 with the Securities and Exchange Commission ("SEC") relating to their previously announced proposed merger ("Merger").</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8"/>
          <w:szCs w:val="18"/>
          <w:color w:val="373737"/>
        </w:rPr>
        <w:t>The registration statement includes a preliminary prospectus and proxy statement in connection with the Merger. Although the registration statement has not yet become effective and the information contained therein is subject to change, it provides important information about Shyft, Aebi Schmidt, and the Merger. The registration statement includes pro forma U.S. GAAP financial results for 2024, including combined revenues of $1.9 billion and adjusted EBITDA of $148 million. The expected closing date of the Merger is mid-2025 and the closing is subject to the registration statement being declared effective by the SEC, approval by shareholders of Shyft, and certain other customary closing conditions.</w:t>
      </w:r>
    </w:p>
    <w:p>
      <w:pPr>
        <w:spacing w:after="0" w:line="16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373737"/>
        </w:rPr>
        <w:t>Upon the consummation of the Merger, the combined company is expected to be named Aebi Schmidt Group, and its shares will be listed and traded on the Nasdaq under the ticker symbol "AEBI".</w:t>
      </w:r>
    </w:p>
    <w:p>
      <w:pPr>
        <w:spacing w:after="0" w:line="140"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373737"/>
        </w:rPr>
        <w:t>"Filing the S-4 is an important milestone as we move closer to completing the merger and begin the SEC review process," said James Sharman, Chairman of the Board of Directors of Shyft. "We look forward to bringing together the strengths and expertise of both teams to build a company with the size and scale to deliver exceptional value for our customers, drive sustainable growth, and create long-term shareholder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About The Shyft Group</w:t>
      </w:r>
    </w:p>
    <w:p>
      <w:pPr>
        <w:spacing w:after="0" w:line="14" w:lineRule="exact"/>
        <w:rPr>
          <w:sz w:val="20"/>
          <w:szCs w:val="20"/>
          <w:color w:val="auto"/>
        </w:rPr>
      </w:pPr>
    </w:p>
    <w:p>
      <w:pPr>
        <w:ind w:right="200"/>
        <w:spacing w:after="0" w:line="224" w:lineRule="auto"/>
        <w:rPr>
          <w:sz w:val="20"/>
          <w:szCs w:val="20"/>
          <w:color w:val="auto"/>
        </w:rPr>
      </w:pPr>
      <w:r>
        <w:rPr>
          <w:rFonts w:ascii="Arial" w:cs="Arial" w:eastAsia="Arial" w:hAnsi="Arial"/>
          <w:sz w:val="17"/>
          <w:szCs w:val="17"/>
          <w:color w:val="373737"/>
        </w:rPr>
        <w:t>Shyft is the North American leader in specialty vehicle manufacturing, assembly, and upfit for the commercial, retail, and service specialty vehicle markets. Our customers include first-to-last mile delivery companies across vocations, federal, state, and local government entities; the trades; and utility and infrastructure segments. Shyft is organized into two core business units: Shyft Fleet Vehicles and Services™ and Shyft Specialty Vehicles™. Today, its family of brands include Utilimaster</w:t>
      </w:r>
      <w:r>
        <w:rPr>
          <w:rFonts w:ascii="Arial" w:cs="Arial" w:eastAsia="Arial" w:hAnsi="Arial"/>
          <w:sz w:val="28"/>
          <w:szCs w:val="28"/>
          <w:color w:val="373737"/>
          <w:vertAlign w:val="superscript"/>
        </w:rPr>
        <w:t>®</w:t>
      </w:r>
      <w:r>
        <w:rPr>
          <w:rFonts w:ascii="Arial" w:cs="Arial" w:eastAsia="Arial" w:hAnsi="Arial"/>
          <w:sz w:val="17"/>
          <w:szCs w:val="17"/>
          <w:color w:val="373737"/>
        </w:rPr>
        <w:t>, Blue Arc™ EV Solutions, Royal</w:t>
      </w:r>
      <w:r>
        <w:rPr>
          <w:rFonts w:ascii="Arial" w:cs="Arial" w:eastAsia="Arial" w:hAnsi="Arial"/>
          <w:sz w:val="28"/>
          <w:szCs w:val="28"/>
          <w:color w:val="373737"/>
          <w:vertAlign w:val="superscript"/>
        </w:rPr>
        <w:t>®</w:t>
      </w:r>
      <w:r>
        <w:rPr>
          <w:rFonts w:ascii="Arial" w:cs="Arial" w:eastAsia="Arial" w:hAnsi="Arial"/>
          <w:sz w:val="17"/>
          <w:szCs w:val="17"/>
          <w:color w:val="373737"/>
        </w:rPr>
        <w:t xml:space="preserve"> Truck Body, DuraMag</w:t>
      </w:r>
      <w:r>
        <w:rPr>
          <w:rFonts w:ascii="Arial" w:cs="Arial" w:eastAsia="Arial" w:hAnsi="Arial"/>
          <w:sz w:val="28"/>
          <w:szCs w:val="28"/>
          <w:color w:val="373737"/>
          <w:vertAlign w:val="superscript"/>
        </w:rPr>
        <w:t>®</w:t>
      </w:r>
      <w:r>
        <w:rPr>
          <w:rFonts w:ascii="Arial" w:cs="Arial" w:eastAsia="Arial" w:hAnsi="Arial"/>
          <w:sz w:val="17"/>
          <w:szCs w:val="17"/>
          <w:color w:val="373737"/>
        </w:rPr>
        <w:t xml:space="preserve"> and</w:t>
      </w:r>
    </w:p>
    <w:p>
      <w:pPr>
        <w:spacing w:after="0" w:line="3"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373737"/>
        </w:rPr>
        <w:t>Magnum</w:t>
      </w:r>
      <w:r>
        <w:rPr>
          <w:rFonts w:ascii="Arial" w:cs="Arial" w:eastAsia="Arial" w:hAnsi="Arial"/>
          <w:sz w:val="29"/>
          <w:szCs w:val="29"/>
          <w:color w:val="373737"/>
          <w:vertAlign w:val="superscript"/>
        </w:rPr>
        <w:t>®</w:t>
      </w:r>
      <w:r>
        <w:rPr>
          <w:rFonts w:ascii="Arial" w:cs="Arial" w:eastAsia="Arial" w:hAnsi="Arial"/>
          <w:sz w:val="18"/>
          <w:szCs w:val="18"/>
          <w:color w:val="373737"/>
        </w:rPr>
        <w:t>, Strobes-R-Us, Spartan</w:t>
      </w:r>
      <w:r>
        <w:rPr>
          <w:rFonts w:ascii="Arial" w:cs="Arial" w:eastAsia="Arial" w:hAnsi="Arial"/>
          <w:sz w:val="29"/>
          <w:szCs w:val="29"/>
          <w:color w:val="373737"/>
          <w:vertAlign w:val="superscript"/>
        </w:rPr>
        <w:t>®</w:t>
      </w:r>
      <w:r>
        <w:rPr>
          <w:rFonts w:ascii="Arial" w:cs="Arial" w:eastAsia="Arial" w:hAnsi="Arial"/>
          <w:sz w:val="18"/>
          <w:szCs w:val="18"/>
          <w:color w:val="373737"/>
        </w:rPr>
        <w:t xml:space="preserve"> RV Chassis, Builtmore Contract Manufacturing™, and Independent Truck Upfitters. Shyft and its go-to-market brands are well known in their respective industries for quality, durability, and first-to-market innovation. Shyft employs approximately 2,900 employees and contractors across campuses, and operates facilities in Arizona, California, Florida, Indiana, Iowa, Maine, Michigan, Missouri, Pennsylvania, Tennessee, Texas, and Saltillo, Mexico. Shyft reported sales of $786 million in 2024. Investor materials are available on </w:t>
      </w:r>
      <w:r>
        <w:rPr>
          <w:rFonts w:ascii="Arial" w:cs="Arial" w:eastAsia="Arial" w:hAnsi="Arial"/>
          <w:sz w:val="18"/>
          <w:szCs w:val="18"/>
          <w:u w:val="single" w:color="auto"/>
          <w:color w:val="0000FF"/>
        </w:rPr>
        <w:t>The Shyft Group Investor Relations</w:t>
      </w:r>
      <w:r>
        <w:rPr>
          <w:rFonts w:ascii="Arial" w:cs="Arial" w:eastAsia="Arial" w:hAnsi="Arial"/>
          <w:sz w:val="18"/>
          <w:szCs w:val="18"/>
          <w:color w:val="373737"/>
        </w:rPr>
        <w:t xml:space="preserve"> site and on the merger microsite, </w:t>
      </w:r>
      <w:r>
        <w:rPr>
          <w:rFonts w:ascii="Arial" w:cs="Arial" w:eastAsia="Arial" w:hAnsi="Arial"/>
          <w:sz w:val="18"/>
          <w:szCs w:val="18"/>
          <w:u w:val="single" w:color="auto"/>
          <w:color w:val="0000FF"/>
        </w:rPr>
        <w:t>A Specialty Vehicles Leader</w:t>
      </w:r>
      <w:r>
        <w:rPr>
          <w:rFonts w:ascii="Arial" w:cs="Arial" w:eastAsia="Arial" w:hAnsi="Arial"/>
          <w:sz w:val="18"/>
          <w:szCs w:val="18"/>
          <w:color w:val="373737"/>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About the Aebi Schmidt Group</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373737"/>
        </w:rPr>
        <w:t>Aebi Schmidt is a global leader in intelligent solutions for customers who care for clean and safe infrastructure. The unique variety of its range of products comprises its own vehicles as well as innovative attachable and demountable devices for individual vehicle equipment. The products combine with a support and service program perfectly tailored to sophisticated customer needs and offer the appropriate solution to nearly any challenge. The globally active group with headquarters in Switzerland has generated net sales of over 1 billion EUR in 2024. Aebi Schmidt currently employs around 3,000 people in 16 sales organizations and over a dozen production facilities worldwide. The company is represented in a further 90 countries through established dealer partnerships. The portfolio consists of the product brands Aebi, Schmidt, Nido, Arctic, Monroe, Towmaster, Swenson, Meyer, MB, ELP and Ladog – all well-established on the market, some of which have been represented for more than 100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373737"/>
        </w:rPr>
        <w:t>Forward Looking Statement</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373737"/>
        </w:rPr>
        <w:t>Certain statements in this press release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373737"/>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press release to conform its prior statements to actual results, revised expectations or to reflect the occurrence of anticipated or unanticipated events.</w:t>
      </w:r>
    </w:p>
    <w:p>
      <w:pPr>
        <w:spacing w:after="0" w:line="18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373737"/>
        </w:rPr>
        <w:t xml:space="preserve">Additional information concerning these and other factors that may impact Shyft's and Aebi Schmidt's expectations and projections can be found in Shyft's periodic filings with the SEC, including Shyft's Annual Report on Form 10-K for the fiscal year ended December 31, 2024, and any subsequent Quarterly Reports on Form 10-Q and Current Reports on Form 8-K. Shyft's SEC filings are available publicly on the SEC's website at </w:t>
      </w:r>
      <w:r>
        <w:rPr>
          <w:rFonts w:ascii="Arial" w:cs="Arial" w:eastAsia="Arial" w:hAnsi="Arial"/>
          <w:sz w:val="18"/>
          <w:szCs w:val="18"/>
          <w:u w:val="single" w:color="auto"/>
          <w:color w:val="0000FF"/>
        </w:rPr>
        <w:t>www.sec.gov</w:t>
      </w:r>
      <w:r>
        <w:rPr>
          <w:rFonts w:ascii="Arial" w:cs="Arial" w:eastAsia="Arial" w:hAnsi="Arial"/>
          <w:sz w:val="18"/>
          <w:szCs w:val="18"/>
          <w:color w:val="37373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373737"/>
        </w:rPr>
        <w:t>No offer or solicitation</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373737"/>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Securities Act, or pursuant to an exemption from, or in a transaction not subject to, such registration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Participants in the Solicitation</w:t>
      </w:r>
    </w:p>
    <w:p>
      <w:pPr>
        <w:spacing w:after="0" w:line="14" w:lineRule="exact"/>
        <w:rPr>
          <w:sz w:val="20"/>
          <w:szCs w:val="20"/>
          <w:color w:val="auto"/>
        </w:rPr>
      </w:pPr>
    </w:p>
    <w:p>
      <w:pPr>
        <w:ind w:right="60"/>
        <w:spacing w:after="0" w:line="236" w:lineRule="auto"/>
        <w:rPr>
          <w:rFonts w:ascii="Arial" w:cs="Arial" w:eastAsia="Arial" w:hAnsi="Arial"/>
          <w:sz w:val="18"/>
          <w:szCs w:val="18"/>
          <w:color w:val="0000EE"/>
        </w:rPr>
      </w:pPr>
      <w:r>
        <w:rPr>
          <w:rFonts w:ascii="Arial" w:cs="Arial" w:eastAsia="Arial" w:hAnsi="Arial"/>
          <w:sz w:val="18"/>
          <w:szCs w:val="18"/>
          <w:color w:val="373737"/>
        </w:rPr>
        <w:t xml:space="preserve">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 be deemed participants in the solicitation of proxies in connection with the proposed transaction, including a description of their direct or indirect interests in the transaction, by security holdings or otherwise, will be set forth in the combined proxy statement/prospectus and other relevant materials when it is filed with the SEC. Information regarding the directors and executive officers of Shyft is contained in the sections entitled "Election of Directors" and "Ownership of Securities" included in Shyft's proxy statement for the 2025 annual meeting of stockholders, which was filed with the SEC on March 31, 2025 (and which is available at </w:t>
      </w:r>
      <w:hyperlink r:id="rId9">
        <w:r>
          <w:rPr>
            <w:rFonts w:ascii="Arial" w:cs="Arial" w:eastAsia="Arial" w:hAnsi="Arial"/>
            <w:sz w:val="18"/>
            <w:szCs w:val="18"/>
            <w:u w:val="single" w:color="auto"/>
            <w:color w:val="0000EE"/>
          </w:rPr>
          <w:t>sec.gov/Archives/edgar/data/743238/000114036125011166/ny20039255x1_def14a.htm</w:t>
        </w:r>
      </w:hyperlink>
      <w:r>
        <w:rPr>
          <w:rFonts w:ascii="Arial" w:cs="Arial" w:eastAsia="Arial" w:hAnsi="Arial"/>
          <w:sz w:val="18"/>
          <w:szCs w:val="18"/>
          <w:color w:val="373737"/>
        </w:rPr>
        <w:t>)</w:t>
      </w:r>
      <w:r>
        <w:rPr>
          <w:rFonts w:ascii="Arial" w:cs="Arial" w:eastAsia="Arial" w:hAnsi="Arial"/>
          <w:sz w:val="18"/>
          <w:szCs w:val="18"/>
          <w:color w:val="0000EE"/>
        </w:rPr>
        <w:t xml:space="preserve"> </w:t>
      </w:r>
      <w:r>
        <w:rPr>
          <w:rFonts w:ascii="Arial" w:cs="Arial" w:eastAsia="Arial" w:hAnsi="Arial"/>
          <w:sz w:val="18"/>
          <w:szCs w:val="18"/>
          <w:color w:val="373737"/>
        </w:rPr>
        <w:t>and in the section entitled "Directors, Executive</w:t>
      </w:r>
      <w:r>
        <w:rPr>
          <w:rFonts w:ascii="Arial" w:cs="Arial" w:eastAsia="Arial" w:hAnsi="Arial"/>
          <w:sz w:val="18"/>
          <w:szCs w:val="18"/>
          <w:color w:val="0000EE"/>
        </w:rPr>
        <w:t xml:space="preserve"> </w:t>
      </w:r>
      <w:r>
        <w:rPr>
          <w:rFonts w:ascii="Arial" w:cs="Arial" w:eastAsia="Arial" w:hAnsi="Arial"/>
          <w:sz w:val="18"/>
          <w:szCs w:val="18"/>
          <w:color w:val="373737"/>
        </w:rPr>
        <w:t xml:space="preserve">Officers, and Corporate Governance" included in Shyft's Annual Report on Form 10-K for the year ended December 31, 2024, which was </w:t>
      </w:r>
      <w:hyperlink r:id="rId16">
        <w:r>
          <w:rPr>
            <w:rFonts w:ascii="Arial" w:cs="Arial" w:eastAsia="Arial" w:hAnsi="Arial"/>
            <w:sz w:val="18"/>
            <w:szCs w:val="18"/>
            <w:color w:val="373737"/>
          </w:rPr>
          <w:t xml:space="preserve">filed with the SEC on February 20, 2025 (and which is available at </w:t>
        </w:r>
        <w:r>
          <w:rPr>
            <w:rFonts w:ascii="Arial" w:cs="Arial" w:eastAsia="Arial" w:hAnsi="Arial"/>
            <w:sz w:val="18"/>
            <w:szCs w:val="18"/>
            <w:u w:val="single" w:color="auto"/>
            <w:color w:val="0000EE"/>
          </w:rPr>
          <w:t>https://www.sec.gov/ix?</w:t>
        </w:r>
      </w:hyperlink>
      <w:r>
        <w:rPr>
          <w:rFonts w:ascii="Arial" w:cs="Arial" w:eastAsia="Arial" w:hAnsi="Arial"/>
          <w:sz w:val="18"/>
          <w:szCs w:val="18"/>
          <w:color w:val="373737"/>
        </w:rPr>
        <w:t xml:space="preserve"> </w:t>
      </w:r>
      <w:hyperlink r:id="rId16">
        <w:r>
          <w:rPr>
            <w:rFonts w:ascii="Arial" w:cs="Arial" w:eastAsia="Arial" w:hAnsi="Arial"/>
            <w:sz w:val="18"/>
            <w:szCs w:val="18"/>
            <w:u w:val="single" w:color="auto"/>
            <w:color w:val="0000EE"/>
          </w:rPr>
          <w:t>doc=/Archives/edgar/data/0000743238/000143774925004501/shyf20241231c_10k.htm</w:t>
        </w:r>
        <w:r>
          <w:rPr>
            <w:rFonts w:ascii="Arial" w:cs="Arial" w:eastAsia="Arial" w:hAnsi="Arial"/>
            <w:sz w:val="18"/>
            <w:szCs w:val="18"/>
            <w:color w:val="373737"/>
          </w:rPr>
          <w:t xml:space="preserve">), </w:t>
        </w:r>
      </w:hyperlink>
      <w:r>
        <w:rPr>
          <w:rFonts w:ascii="Arial" w:cs="Arial" w:eastAsia="Arial" w:hAnsi="Arial"/>
          <w:sz w:val="18"/>
          <w:szCs w:val="18"/>
          <w:color w:val="0000EE"/>
        </w:rPr>
        <w:t xml:space="preserve">and </w:t>
      </w:r>
      <w:r>
        <w:rPr>
          <w:rFonts w:ascii="Arial" w:cs="Arial" w:eastAsia="Arial" w:hAnsi="Arial"/>
          <w:sz w:val="18"/>
          <w:szCs w:val="18"/>
          <w:color w:val="373737"/>
        </w:rPr>
        <w:t>certain of its Current Reports filed on Form 8-K. These documents can be obtained free of charge from the sources indicated below.</w:t>
      </w:r>
    </w:p>
    <w:p>
      <w:pPr>
        <w:spacing w:after="0" w:line="172"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373737"/>
        </w:rPr>
        <w:t>Additional information and where to find it</w:t>
      </w:r>
    </w:p>
    <w:p>
      <w:pPr>
        <w:spacing w:after="0" w:line="14" w:lineRule="exact"/>
        <w:rPr>
          <w:rFonts w:ascii="Arial" w:cs="Arial" w:eastAsia="Arial" w:hAnsi="Arial"/>
          <w:sz w:val="18"/>
          <w:szCs w:val="18"/>
          <w:color w:val="0000EE"/>
        </w:rPr>
      </w:pPr>
    </w:p>
    <w:p>
      <w:pPr>
        <w:spacing w:after="0" w:line="236" w:lineRule="auto"/>
        <w:rPr>
          <w:sz w:val="20"/>
          <w:szCs w:val="20"/>
          <w:color w:val="auto"/>
        </w:rPr>
      </w:pPr>
      <w:r>
        <w:rPr>
          <w:rFonts w:ascii="Arial" w:cs="Arial" w:eastAsia="Arial" w:hAnsi="Arial"/>
          <w:sz w:val="18"/>
          <w:szCs w:val="18"/>
          <w:color w:val="373737"/>
        </w:rPr>
        <w:t xml:space="preserve">Aebi Schmidt has file a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t>
      </w:r>
      <w:r>
        <w:rPr>
          <w:rFonts w:ascii="Arial" w:cs="Arial" w:eastAsia="Arial" w:hAnsi="Arial"/>
          <w:sz w:val="18"/>
          <w:szCs w:val="18"/>
          <w:u w:val="single" w:color="auto"/>
          <w:color w:val="0000FF"/>
        </w:rPr>
        <w:t>www.sec.gov</w:t>
      </w:r>
      <w:r>
        <w:rPr>
          <w:rFonts w:ascii="Arial" w:cs="Arial" w:eastAsia="Arial" w:hAnsi="Arial"/>
          <w:sz w:val="18"/>
          <w:szCs w:val="18"/>
          <w:color w:val="373737"/>
        </w:rPr>
        <w:t>. Copies of documents filed with the SEC by Shyft will be made available free of charge on Shyft's investor relations website at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https://theshyftgroup.com/investor-relations/</w:t>
      </w:r>
      <w:r>
        <w:rPr>
          <w:rFonts w:ascii="Arial" w:cs="Arial" w:eastAsia="Arial" w:hAnsi="Arial"/>
          <w:sz w:val="18"/>
          <w:szCs w:val="18"/>
          <w:color w:val="373737"/>
        </w:rPr>
        <w: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73737"/>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373737"/>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73737"/>
        </w:rPr>
        <w:t>Sydney Machesky</w:t>
      </w:r>
    </w:p>
    <w:p>
      <w:pPr>
        <w:spacing w:after="0" w:line="234" w:lineRule="auto"/>
        <w:rPr>
          <w:sz w:val="20"/>
          <w:szCs w:val="20"/>
          <w:color w:val="auto"/>
        </w:rPr>
      </w:pPr>
      <w:r>
        <w:rPr>
          <w:rFonts w:ascii="Arial" w:cs="Arial" w:eastAsia="Arial" w:hAnsi="Arial"/>
          <w:sz w:val="18"/>
          <w:szCs w:val="18"/>
          <w:color w:val="373737"/>
        </w:rPr>
        <w:t>Director, Corporate Communications</w:t>
      </w:r>
    </w:p>
    <w:p>
      <w:pPr>
        <w:spacing w:after="0" w:line="235" w:lineRule="auto"/>
        <w:rPr>
          <w:sz w:val="20"/>
          <w:szCs w:val="20"/>
          <w:color w:val="auto"/>
        </w:rPr>
      </w:pPr>
      <w:r>
        <w:rPr>
          <w:rFonts w:ascii="Arial" w:cs="Arial" w:eastAsia="Arial" w:hAnsi="Arial"/>
          <w:sz w:val="18"/>
          <w:szCs w:val="18"/>
          <w:color w:val="373737"/>
        </w:rPr>
        <w:t>The Shyft Group</w:t>
      </w:r>
    </w:p>
    <w:p>
      <w:pPr>
        <w:spacing w:after="0" w:line="235" w:lineRule="auto"/>
        <w:rPr>
          <w:sz w:val="20"/>
          <w:szCs w:val="20"/>
          <w:color w:val="auto"/>
        </w:rPr>
      </w:pPr>
      <w:r>
        <w:rPr>
          <w:rFonts w:ascii="Arial" w:cs="Arial" w:eastAsia="Arial" w:hAnsi="Arial"/>
          <w:sz w:val="18"/>
          <w:szCs w:val="18"/>
          <w:u w:val="single" w:color="auto"/>
          <w:color w:val="0000FF"/>
        </w:rPr>
        <w:t>Sydney.Machesky@theshyftgroup.com</w:t>
      </w:r>
    </w:p>
    <w:p>
      <w:pPr>
        <w:spacing w:after="0"/>
        <w:rPr>
          <w:sz w:val="20"/>
          <w:szCs w:val="20"/>
          <w:color w:val="auto"/>
        </w:rPr>
      </w:pPr>
      <w:r>
        <w:rPr>
          <w:rFonts w:ascii="Arial" w:cs="Arial" w:eastAsia="Arial" w:hAnsi="Arial"/>
          <w:sz w:val="18"/>
          <w:szCs w:val="18"/>
          <w:color w:val="373737"/>
        </w:rPr>
        <w:t>+1. 586.413.4112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373737"/>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73737"/>
        </w:rPr>
        <w:t>Randy Wilson</w:t>
      </w:r>
    </w:p>
    <w:p>
      <w:pPr>
        <w:spacing w:after="0"/>
        <w:rPr>
          <w:sz w:val="20"/>
          <w:szCs w:val="20"/>
          <w:color w:val="auto"/>
        </w:rPr>
      </w:pPr>
      <w:r>
        <w:rPr>
          <w:rFonts w:ascii="Arial" w:cs="Arial" w:eastAsia="Arial" w:hAnsi="Arial"/>
          <w:sz w:val="17"/>
          <w:szCs w:val="17"/>
          <w:color w:val="373737"/>
        </w:rPr>
        <w:t>Vice President, Investor Relations and Treasury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373737"/>
        </w:rPr>
        <w:t>The Shyft Group</w:t>
      </w:r>
    </w:p>
    <w:p>
      <w:pPr>
        <w:spacing w:after="0" w:line="234" w:lineRule="auto"/>
        <w:rPr>
          <w:sz w:val="20"/>
          <w:szCs w:val="20"/>
          <w:color w:val="auto"/>
        </w:rPr>
      </w:pPr>
      <w:r>
        <w:rPr>
          <w:rFonts w:ascii="Arial" w:cs="Arial" w:eastAsia="Arial" w:hAnsi="Arial"/>
          <w:sz w:val="18"/>
          <w:szCs w:val="18"/>
          <w:u w:val="single" w:color="auto"/>
          <w:color w:val="0000FF"/>
        </w:rPr>
        <w:t>Randy.Wilson@theshyftgroup.com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73737"/>
        </w:rPr>
        <w:t>+1.248.727.3755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9" Type="http://schemas.openxmlformats.org/officeDocument/2006/relationships/hyperlink" Target="https://www.sec.gov/Archives/edgar/data/743238/000114036125011166/ny20039255x1_def14a.htm" TargetMode="External"/><Relationship Id="rId10" Type="http://schemas.openxmlformats.org/officeDocument/2006/relationships/hyperlink" Target="https://www.sec.gov/Archives/edgar/data/743238/000143774925004501/shyf20241231c_10k.htm" TargetMode="External"/><Relationship Id="rId16" Type="http://schemas.openxmlformats.org/officeDocument/2006/relationships/hyperlink" Target="https://www.sec.gov/ix?doc=/Archives/edgar/data/0000743238/000143774925004501/shyf20241231c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2025-04-04T16:13:08Z</dcterms:created>
  <dcterms:modified xsi:type="dcterms:W3CDTF">2025-04-04T16:13:08Z</dcterms:modified>
</cp:coreProperties>
</file>